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theme/themeOverride1.xml" ContentType="application/vnd.openxmlformats-officedocument.themeOverrid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F757B0" w14:paraId="4E998D24" w14:textId="77777777" w:rsidTr="00355E7A">
        <w:trPr>
          <w:trHeight w:hRule="exact" w:val="6670"/>
        </w:trPr>
        <w:tc>
          <w:tcPr>
            <w:tcW w:w="9421" w:type="dxa"/>
          </w:tcPr>
          <w:p w14:paraId="084EB59A" w14:textId="77777777" w:rsidR="00F757B0" w:rsidRDefault="00F757B0" w:rsidP="00A76027"/>
        </w:tc>
      </w:tr>
      <w:tr w:rsidR="00F757B0" w14:paraId="16A52332" w14:textId="77777777" w:rsidTr="00E12240">
        <w:trPr>
          <w:trHeight w:hRule="exact" w:val="4423"/>
        </w:trPr>
        <w:tc>
          <w:tcPr>
            <w:tcW w:w="9421" w:type="dxa"/>
          </w:tcPr>
          <w:p w14:paraId="4A6215A7" w14:textId="17D63312" w:rsidR="007B1102" w:rsidRDefault="004A6F83" w:rsidP="007B1102">
            <w:pPr>
              <w:pStyle w:val="Documenttitle"/>
            </w:pPr>
            <w:r>
              <w:t xml:space="preserve">The economic contribution of the Maritime </w:t>
            </w:r>
            <w:r w:rsidR="002312AF">
              <w:t>S</w:t>
            </w:r>
            <w:r>
              <w:t>ector in Wales</w:t>
            </w:r>
          </w:p>
          <w:p w14:paraId="65408973" w14:textId="38C56CEA" w:rsidR="007B1102" w:rsidRDefault="007B1102" w:rsidP="007B1102">
            <w:pPr>
              <w:pStyle w:val="Documentsubtitle"/>
            </w:pPr>
            <w:r>
              <w:t>A report for Maritime UK</w:t>
            </w:r>
            <w:r w:rsidR="00750F57">
              <w:t xml:space="preserve"> and the Welsh Ports Group</w:t>
            </w:r>
          </w:p>
          <w:p w14:paraId="6A6C2648" w14:textId="09C23A8E" w:rsidR="00B81589" w:rsidRDefault="00A420C1" w:rsidP="00B81589">
            <w:pPr>
              <w:pStyle w:val="Documentoutline"/>
            </w:pPr>
            <w:r>
              <w:t>August 2019</w:t>
            </w:r>
          </w:p>
          <w:p w14:paraId="228D027C" w14:textId="6AA7FAC6" w:rsidR="00F757B0" w:rsidRDefault="00F757B0" w:rsidP="00F757B0">
            <w:pPr>
              <w:pStyle w:val="Documentoutline"/>
            </w:pPr>
          </w:p>
        </w:tc>
      </w:tr>
    </w:tbl>
    <w:p w14:paraId="5843E7F7" w14:textId="77777777" w:rsidR="0008458B" w:rsidRDefault="0008458B">
      <w:r>
        <w:br w:type="page"/>
      </w:r>
    </w:p>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424F1F" w14:paraId="30F8FE9D" w14:textId="77777777" w:rsidTr="00424F1F">
        <w:trPr>
          <w:trHeight w:val="12765"/>
        </w:trPr>
        <w:tc>
          <w:tcPr>
            <w:tcW w:w="9421" w:type="dxa"/>
            <w:vAlign w:val="bottom"/>
          </w:tcPr>
          <w:tbl>
            <w:tblPr>
              <w:tblStyle w:val="TableGrid"/>
              <w:tblW w:w="94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421"/>
            </w:tblGrid>
            <w:tr w:rsidR="00307E8C" w14:paraId="03BABE29" w14:textId="77777777" w:rsidTr="00071DC7">
              <w:trPr>
                <w:trHeight w:val="12765"/>
              </w:trPr>
              <w:tc>
                <w:tcPr>
                  <w:tcW w:w="9421" w:type="dxa"/>
                  <w:vAlign w:val="bottom"/>
                </w:tcPr>
                <w:p w14:paraId="3A42CDB8" w14:textId="77777777" w:rsidR="00307E8C" w:rsidRPr="007A2119" w:rsidRDefault="00307E8C" w:rsidP="00307E8C">
                  <w:pPr>
                    <w:pStyle w:val="Disclaimer"/>
                    <w:rPr>
                      <w:b/>
                      <w:bCs/>
                    </w:rPr>
                  </w:pPr>
                  <w:r w:rsidRPr="007A2119">
                    <w:rPr>
                      <w:b/>
                      <w:bCs/>
                    </w:rPr>
                    <w:lastRenderedPageBreak/>
                    <w:t>Disclaimer</w:t>
                  </w:r>
                </w:p>
                <w:p w14:paraId="2FDAEA8E" w14:textId="77777777" w:rsidR="00307E8C" w:rsidRDefault="00307E8C" w:rsidP="00307E8C">
                  <w:pPr>
                    <w:pStyle w:val="Disclaimer"/>
                  </w:pPr>
                  <w:r>
                    <w:t>Whilst every effort has been made to ensure the accuracy of the material in this document, neither Centre for Economics and Business Research Ltd nor the report’s authors will be liable for any loss or damages incurred through the use of the report.</w:t>
                  </w:r>
                </w:p>
                <w:p w14:paraId="7C6513D6" w14:textId="77777777" w:rsidR="00307E8C" w:rsidRDefault="00307E8C" w:rsidP="00307E8C">
                  <w:pPr>
                    <w:pStyle w:val="Disclaimer"/>
                    <w:spacing w:after="0"/>
                  </w:pPr>
                  <w:r>
                    <w:t>Authorship and acknowledgements</w:t>
                  </w:r>
                </w:p>
                <w:p w14:paraId="4CB6F92B" w14:textId="77777777" w:rsidR="00307E8C" w:rsidRDefault="00307E8C" w:rsidP="00307E8C">
                  <w:pPr>
                    <w:pStyle w:val="Disclaimer"/>
                    <w:spacing w:after="0"/>
                  </w:pPr>
                </w:p>
                <w:p w14:paraId="2281CD5A" w14:textId="77777777" w:rsidR="00307E8C" w:rsidRDefault="00307E8C" w:rsidP="00307E8C">
                  <w:pPr>
                    <w:pStyle w:val="Disclaimer"/>
                  </w:pPr>
                  <w:r>
                    <w:t>This report has been produced by Cebr, an independent economics and business research consultancy established in 1992. The views expressed herein are those of the authors only and are based upon independent research by them.</w:t>
                  </w:r>
                </w:p>
                <w:p w14:paraId="68AFAA4B" w14:textId="5711317C" w:rsidR="00307E8C" w:rsidRDefault="00307E8C" w:rsidP="00307E8C">
                  <w:pPr>
                    <w:pStyle w:val="Disclaimer"/>
                  </w:pPr>
                  <w:r>
                    <w:rPr>
                      <w:color w:val="000000"/>
                    </w:rPr>
                    <w:t>The industry figure</w:t>
                  </w:r>
                  <w:r w:rsidR="007360E0">
                    <w:rPr>
                      <w:color w:val="000000"/>
                    </w:rPr>
                    <w:t>s making up the broad Maritime S</w:t>
                  </w:r>
                  <w:r>
                    <w:rPr>
                      <w:color w:val="000000"/>
                    </w:rPr>
                    <w:t>ector are not always additive because some of the reports have been customised to cater for the overlap between certain industries. Simply adding together the industries would therefore produce a degree of double counting. Nonetheless, the broad Maritime report has had this double counting stripped out. Cebr believes fundamentally in the thoroughness and robustness of its approach and, as such, we stand by our own unbiased and fresh examinati</w:t>
                  </w:r>
                  <w:r w:rsidR="007360E0">
                    <w:rPr>
                      <w:color w:val="000000"/>
                    </w:rPr>
                    <w:t>on of the role of the Maritime S</w:t>
                  </w:r>
                  <w:r>
                    <w:rPr>
                      <w:color w:val="000000"/>
                    </w:rPr>
                    <w:t>ector and its constituent industries in the UK.</w:t>
                  </w:r>
                </w:p>
                <w:p w14:paraId="3624ECB8" w14:textId="77777777" w:rsidR="00307E8C" w:rsidRDefault="00307E8C" w:rsidP="00307E8C">
                  <w:pPr>
                    <w:pStyle w:val="Disclaimer"/>
                    <w:tabs>
                      <w:tab w:val="right" w:pos="9356"/>
                    </w:tabs>
                  </w:pPr>
                  <w:r>
                    <w:t>The report does not necessarily reflect the views of Maritime UK. The report does not necessarily reflect the views of Maritime UK.</w:t>
                  </w:r>
                </w:p>
                <w:p w14:paraId="419A10C8" w14:textId="77777777" w:rsidR="00307E8C" w:rsidRDefault="00307E8C" w:rsidP="00307E8C">
                  <w:pPr>
                    <w:pStyle w:val="Disclaimer"/>
                    <w:tabs>
                      <w:tab w:val="right" w:pos="9356"/>
                    </w:tabs>
                  </w:pPr>
                  <w:r>
                    <w:tab/>
                  </w:r>
                </w:p>
                <w:p w14:paraId="4E829C80" w14:textId="77777777" w:rsidR="00307E8C" w:rsidRDefault="00307E8C" w:rsidP="00307E8C">
                  <w:pPr>
                    <w:pStyle w:val="Disclaimer"/>
                    <w:tabs>
                      <w:tab w:val="right" w:pos="9356"/>
                    </w:tabs>
                    <w:jc w:val="right"/>
                  </w:pPr>
                  <w:r>
                    <w:t>London, August 2019</w:t>
                  </w:r>
                </w:p>
              </w:tc>
            </w:tr>
          </w:tbl>
          <w:p w14:paraId="2AF26AD4" w14:textId="246E65C4" w:rsidR="00424F1F" w:rsidRPr="00C72A6E" w:rsidRDefault="00424F1F" w:rsidP="00A420C1">
            <w:pPr>
              <w:pStyle w:val="Disclaimer"/>
              <w:tabs>
                <w:tab w:val="right" w:pos="9356"/>
              </w:tabs>
              <w:jc w:val="right"/>
            </w:pPr>
          </w:p>
        </w:tc>
      </w:tr>
    </w:tbl>
    <w:p w14:paraId="5B4C9E55" w14:textId="77777777" w:rsidR="007A2119" w:rsidRDefault="007A2119" w:rsidP="007A2119">
      <w:pPr>
        <w:pStyle w:val="Disclaimer"/>
        <w:tabs>
          <w:tab w:val="right" w:pos="9412"/>
        </w:tabs>
      </w:pPr>
      <w:r>
        <w:br w:type="page"/>
      </w:r>
    </w:p>
    <w:p w14:paraId="2562FFCB" w14:textId="77777777" w:rsidR="007A2119" w:rsidRDefault="00773CE3" w:rsidP="00D43EC4">
      <w:pPr>
        <w:pStyle w:val="Contentstitle"/>
      </w:pPr>
      <w:r>
        <w:lastRenderedPageBreak/>
        <w:t>Contents</w:t>
      </w:r>
    </w:p>
    <w:bookmarkStart w:id="0" w:name="_GoBack"/>
    <w:bookmarkEnd w:id="0"/>
    <w:p w14:paraId="5FE59D1C" w14:textId="77777777" w:rsidR="00B721D7" w:rsidRDefault="00F6094A">
      <w:pPr>
        <w:pStyle w:val="TOC3"/>
        <w:rPr>
          <w:rFonts w:cstheme="minorBidi"/>
          <w:b w:val="0"/>
          <w:noProof/>
          <w:sz w:val="22"/>
          <w:szCs w:val="22"/>
          <w:lang w:eastAsia="en-GB"/>
        </w:rPr>
      </w:pPr>
      <w:r>
        <w:rPr>
          <w:color w:val="000000" w:themeColor="text1"/>
        </w:rPr>
        <w:fldChar w:fldCharType="begin"/>
      </w:r>
      <w:r>
        <w:instrText xml:space="preserve"> TOC \h \z \t "Heading 1,3,Heading 2,4,Section title,1,Subsection title,2" </w:instrText>
      </w:r>
      <w:r>
        <w:rPr>
          <w:color w:val="000000" w:themeColor="text1"/>
        </w:rPr>
        <w:fldChar w:fldCharType="separate"/>
      </w:r>
      <w:hyperlink w:anchor="_Toc18076327" w:history="1">
        <w:r w:rsidR="00B721D7" w:rsidRPr="00B6325D">
          <w:rPr>
            <w:rStyle w:val="Hyperlink"/>
            <w:noProof/>
          </w:rPr>
          <w:t>Executive Summary</w:t>
        </w:r>
        <w:r w:rsidR="00B721D7">
          <w:rPr>
            <w:noProof/>
            <w:webHidden/>
          </w:rPr>
          <w:tab/>
        </w:r>
        <w:r w:rsidR="00B721D7">
          <w:rPr>
            <w:noProof/>
            <w:webHidden/>
          </w:rPr>
          <w:fldChar w:fldCharType="begin"/>
        </w:r>
        <w:r w:rsidR="00B721D7">
          <w:rPr>
            <w:noProof/>
            <w:webHidden/>
          </w:rPr>
          <w:instrText xml:space="preserve"> PAGEREF _Toc18076327 \h </w:instrText>
        </w:r>
        <w:r w:rsidR="00B721D7">
          <w:rPr>
            <w:noProof/>
            <w:webHidden/>
          </w:rPr>
        </w:r>
        <w:r w:rsidR="00B721D7">
          <w:rPr>
            <w:noProof/>
            <w:webHidden/>
          </w:rPr>
          <w:fldChar w:fldCharType="separate"/>
        </w:r>
        <w:r w:rsidR="00B721D7">
          <w:rPr>
            <w:noProof/>
            <w:webHidden/>
          </w:rPr>
          <w:t>4</w:t>
        </w:r>
        <w:r w:rsidR="00B721D7">
          <w:rPr>
            <w:noProof/>
            <w:webHidden/>
          </w:rPr>
          <w:fldChar w:fldCharType="end"/>
        </w:r>
      </w:hyperlink>
    </w:p>
    <w:p w14:paraId="06C91EAE" w14:textId="77777777" w:rsidR="00B721D7" w:rsidRDefault="00B721D7">
      <w:pPr>
        <w:pStyle w:val="TOC3"/>
        <w:rPr>
          <w:rFonts w:cstheme="minorBidi"/>
          <w:b w:val="0"/>
          <w:noProof/>
          <w:sz w:val="22"/>
          <w:szCs w:val="22"/>
          <w:lang w:eastAsia="en-GB"/>
        </w:rPr>
      </w:pPr>
      <w:hyperlink w:anchor="_Toc18076328" w:history="1">
        <w:r w:rsidRPr="00B6325D">
          <w:rPr>
            <w:rStyle w:val="Hyperlink"/>
            <w:noProof/>
          </w:rPr>
          <w:t>1</w:t>
        </w:r>
        <w:r>
          <w:rPr>
            <w:rFonts w:cstheme="minorBidi"/>
            <w:b w:val="0"/>
            <w:noProof/>
            <w:sz w:val="22"/>
            <w:szCs w:val="22"/>
            <w:lang w:eastAsia="en-GB"/>
          </w:rPr>
          <w:tab/>
        </w:r>
        <w:r w:rsidRPr="00B6325D">
          <w:rPr>
            <w:rStyle w:val="Hyperlink"/>
            <w:noProof/>
          </w:rPr>
          <w:t>Introduction</w:t>
        </w:r>
        <w:r>
          <w:rPr>
            <w:noProof/>
            <w:webHidden/>
          </w:rPr>
          <w:tab/>
        </w:r>
        <w:r>
          <w:rPr>
            <w:noProof/>
            <w:webHidden/>
          </w:rPr>
          <w:fldChar w:fldCharType="begin"/>
        </w:r>
        <w:r>
          <w:rPr>
            <w:noProof/>
            <w:webHidden/>
          </w:rPr>
          <w:instrText xml:space="preserve"> PAGEREF _Toc18076328 \h </w:instrText>
        </w:r>
        <w:r>
          <w:rPr>
            <w:noProof/>
            <w:webHidden/>
          </w:rPr>
        </w:r>
        <w:r>
          <w:rPr>
            <w:noProof/>
            <w:webHidden/>
          </w:rPr>
          <w:fldChar w:fldCharType="separate"/>
        </w:r>
        <w:r>
          <w:rPr>
            <w:noProof/>
            <w:webHidden/>
          </w:rPr>
          <w:t>5</w:t>
        </w:r>
        <w:r>
          <w:rPr>
            <w:noProof/>
            <w:webHidden/>
          </w:rPr>
          <w:fldChar w:fldCharType="end"/>
        </w:r>
      </w:hyperlink>
    </w:p>
    <w:p w14:paraId="6CAAB514" w14:textId="77777777" w:rsidR="00B721D7" w:rsidRDefault="00B721D7">
      <w:pPr>
        <w:pStyle w:val="TOC4"/>
        <w:rPr>
          <w:rFonts w:cstheme="minorBidi"/>
          <w:noProof/>
          <w:color w:val="auto"/>
          <w:sz w:val="22"/>
          <w:szCs w:val="22"/>
          <w:lang w:eastAsia="en-GB"/>
        </w:rPr>
      </w:pPr>
      <w:hyperlink w:anchor="_Toc18076329" w:history="1">
        <w:r w:rsidRPr="00B6325D">
          <w:rPr>
            <w:rStyle w:val="Hyperlink"/>
            <w:noProof/>
          </w:rPr>
          <w:t>1.1</w:t>
        </w:r>
        <w:r>
          <w:rPr>
            <w:rFonts w:cstheme="minorBidi"/>
            <w:noProof/>
            <w:color w:val="auto"/>
            <w:sz w:val="22"/>
            <w:szCs w:val="22"/>
            <w:lang w:eastAsia="en-GB"/>
          </w:rPr>
          <w:tab/>
        </w:r>
        <w:r w:rsidRPr="00B6325D">
          <w:rPr>
            <w:rStyle w:val="Hyperlink"/>
            <w:noProof/>
          </w:rPr>
          <w:t>About Maritime UK</w:t>
        </w:r>
        <w:r>
          <w:rPr>
            <w:noProof/>
            <w:webHidden/>
          </w:rPr>
          <w:tab/>
        </w:r>
        <w:r>
          <w:rPr>
            <w:noProof/>
            <w:webHidden/>
          </w:rPr>
          <w:fldChar w:fldCharType="begin"/>
        </w:r>
        <w:r>
          <w:rPr>
            <w:noProof/>
            <w:webHidden/>
          </w:rPr>
          <w:instrText xml:space="preserve"> PAGEREF _Toc18076329 \h </w:instrText>
        </w:r>
        <w:r>
          <w:rPr>
            <w:noProof/>
            <w:webHidden/>
          </w:rPr>
        </w:r>
        <w:r>
          <w:rPr>
            <w:noProof/>
            <w:webHidden/>
          </w:rPr>
          <w:fldChar w:fldCharType="separate"/>
        </w:r>
        <w:r>
          <w:rPr>
            <w:noProof/>
            <w:webHidden/>
          </w:rPr>
          <w:t>5</w:t>
        </w:r>
        <w:r>
          <w:rPr>
            <w:noProof/>
            <w:webHidden/>
          </w:rPr>
          <w:fldChar w:fldCharType="end"/>
        </w:r>
      </w:hyperlink>
    </w:p>
    <w:p w14:paraId="6BF19F1F" w14:textId="77777777" w:rsidR="00B721D7" w:rsidRDefault="00B721D7">
      <w:pPr>
        <w:pStyle w:val="TOC4"/>
        <w:rPr>
          <w:rFonts w:cstheme="minorBidi"/>
          <w:noProof/>
          <w:color w:val="auto"/>
          <w:sz w:val="22"/>
          <w:szCs w:val="22"/>
          <w:lang w:eastAsia="en-GB"/>
        </w:rPr>
      </w:pPr>
      <w:hyperlink w:anchor="_Toc18076330" w:history="1">
        <w:r w:rsidRPr="00B6325D">
          <w:rPr>
            <w:rStyle w:val="Hyperlink"/>
            <w:noProof/>
          </w:rPr>
          <w:t>1.2</w:t>
        </w:r>
        <w:r>
          <w:rPr>
            <w:rFonts w:cstheme="minorBidi"/>
            <w:noProof/>
            <w:color w:val="auto"/>
            <w:sz w:val="22"/>
            <w:szCs w:val="22"/>
            <w:lang w:eastAsia="en-GB"/>
          </w:rPr>
          <w:tab/>
        </w:r>
        <w:r w:rsidRPr="00B6325D">
          <w:rPr>
            <w:rStyle w:val="Hyperlink"/>
            <w:noProof/>
          </w:rPr>
          <w:t>About the Welsh Ports Group</w:t>
        </w:r>
        <w:r>
          <w:rPr>
            <w:noProof/>
            <w:webHidden/>
          </w:rPr>
          <w:tab/>
        </w:r>
        <w:r>
          <w:rPr>
            <w:noProof/>
            <w:webHidden/>
          </w:rPr>
          <w:fldChar w:fldCharType="begin"/>
        </w:r>
        <w:r>
          <w:rPr>
            <w:noProof/>
            <w:webHidden/>
          </w:rPr>
          <w:instrText xml:space="preserve"> PAGEREF _Toc18076330 \h </w:instrText>
        </w:r>
        <w:r>
          <w:rPr>
            <w:noProof/>
            <w:webHidden/>
          </w:rPr>
        </w:r>
        <w:r>
          <w:rPr>
            <w:noProof/>
            <w:webHidden/>
          </w:rPr>
          <w:fldChar w:fldCharType="separate"/>
        </w:r>
        <w:r>
          <w:rPr>
            <w:noProof/>
            <w:webHidden/>
          </w:rPr>
          <w:t>5</w:t>
        </w:r>
        <w:r>
          <w:rPr>
            <w:noProof/>
            <w:webHidden/>
          </w:rPr>
          <w:fldChar w:fldCharType="end"/>
        </w:r>
      </w:hyperlink>
    </w:p>
    <w:p w14:paraId="2F7266F8" w14:textId="77777777" w:rsidR="00B721D7" w:rsidRDefault="00B721D7">
      <w:pPr>
        <w:pStyle w:val="TOC4"/>
        <w:rPr>
          <w:rFonts w:cstheme="minorBidi"/>
          <w:noProof/>
          <w:color w:val="auto"/>
          <w:sz w:val="22"/>
          <w:szCs w:val="22"/>
          <w:lang w:eastAsia="en-GB"/>
        </w:rPr>
      </w:pPr>
      <w:hyperlink w:anchor="_Toc18076331" w:history="1">
        <w:r w:rsidRPr="00B6325D">
          <w:rPr>
            <w:rStyle w:val="Hyperlink"/>
            <w:noProof/>
          </w:rPr>
          <w:t>1.3</w:t>
        </w:r>
        <w:r>
          <w:rPr>
            <w:rFonts w:cstheme="minorBidi"/>
            <w:noProof/>
            <w:color w:val="auto"/>
            <w:sz w:val="22"/>
            <w:szCs w:val="22"/>
            <w:lang w:eastAsia="en-GB"/>
          </w:rPr>
          <w:tab/>
        </w:r>
        <w:r w:rsidRPr="00B6325D">
          <w:rPr>
            <w:rStyle w:val="Hyperlink"/>
            <w:noProof/>
          </w:rPr>
          <w:t>Background on the facilitating role of the Maritime Sector in Wales</w:t>
        </w:r>
        <w:r>
          <w:rPr>
            <w:noProof/>
            <w:webHidden/>
          </w:rPr>
          <w:tab/>
        </w:r>
        <w:r>
          <w:rPr>
            <w:noProof/>
            <w:webHidden/>
          </w:rPr>
          <w:fldChar w:fldCharType="begin"/>
        </w:r>
        <w:r>
          <w:rPr>
            <w:noProof/>
            <w:webHidden/>
          </w:rPr>
          <w:instrText xml:space="preserve"> PAGEREF _Toc18076331 \h </w:instrText>
        </w:r>
        <w:r>
          <w:rPr>
            <w:noProof/>
            <w:webHidden/>
          </w:rPr>
        </w:r>
        <w:r>
          <w:rPr>
            <w:noProof/>
            <w:webHidden/>
          </w:rPr>
          <w:fldChar w:fldCharType="separate"/>
        </w:r>
        <w:r>
          <w:rPr>
            <w:noProof/>
            <w:webHidden/>
          </w:rPr>
          <w:t>5</w:t>
        </w:r>
        <w:r>
          <w:rPr>
            <w:noProof/>
            <w:webHidden/>
          </w:rPr>
          <w:fldChar w:fldCharType="end"/>
        </w:r>
      </w:hyperlink>
    </w:p>
    <w:p w14:paraId="52E4F190" w14:textId="77777777" w:rsidR="00B721D7" w:rsidRDefault="00B721D7">
      <w:pPr>
        <w:pStyle w:val="TOC4"/>
        <w:rPr>
          <w:rFonts w:cstheme="minorBidi"/>
          <w:noProof/>
          <w:color w:val="auto"/>
          <w:sz w:val="22"/>
          <w:szCs w:val="22"/>
          <w:lang w:eastAsia="en-GB"/>
        </w:rPr>
      </w:pPr>
      <w:hyperlink w:anchor="_Toc18076332" w:history="1">
        <w:r w:rsidRPr="00B6325D">
          <w:rPr>
            <w:rStyle w:val="Hyperlink"/>
            <w:noProof/>
          </w:rPr>
          <w:t>1.4</w:t>
        </w:r>
        <w:r>
          <w:rPr>
            <w:rFonts w:cstheme="minorBidi"/>
            <w:noProof/>
            <w:color w:val="auto"/>
            <w:sz w:val="22"/>
            <w:szCs w:val="22"/>
            <w:lang w:eastAsia="en-GB"/>
          </w:rPr>
          <w:tab/>
        </w:r>
        <w:r w:rsidRPr="00B6325D">
          <w:rPr>
            <w:rStyle w:val="Hyperlink"/>
            <w:noProof/>
          </w:rPr>
          <w:t>Purpose of this report</w:t>
        </w:r>
        <w:r>
          <w:rPr>
            <w:noProof/>
            <w:webHidden/>
          </w:rPr>
          <w:tab/>
        </w:r>
        <w:r>
          <w:rPr>
            <w:noProof/>
            <w:webHidden/>
          </w:rPr>
          <w:fldChar w:fldCharType="begin"/>
        </w:r>
        <w:r>
          <w:rPr>
            <w:noProof/>
            <w:webHidden/>
          </w:rPr>
          <w:instrText xml:space="preserve"> PAGEREF _Toc18076332 \h </w:instrText>
        </w:r>
        <w:r>
          <w:rPr>
            <w:noProof/>
            <w:webHidden/>
          </w:rPr>
        </w:r>
        <w:r>
          <w:rPr>
            <w:noProof/>
            <w:webHidden/>
          </w:rPr>
          <w:fldChar w:fldCharType="separate"/>
        </w:r>
        <w:r>
          <w:rPr>
            <w:noProof/>
            <w:webHidden/>
          </w:rPr>
          <w:t>6</w:t>
        </w:r>
        <w:r>
          <w:rPr>
            <w:noProof/>
            <w:webHidden/>
          </w:rPr>
          <w:fldChar w:fldCharType="end"/>
        </w:r>
      </w:hyperlink>
    </w:p>
    <w:p w14:paraId="3414075E" w14:textId="77777777" w:rsidR="00B721D7" w:rsidRDefault="00B721D7">
      <w:pPr>
        <w:pStyle w:val="TOC4"/>
        <w:rPr>
          <w:rFonts w:cstheme="minorBidi"/>
          <w:noProof/>
          <w:color w:val="auto"/>
          <w:sz w:val="22"/>
          <w:szCs w:val="22"/>
          <w:lang w:eastAsia="en-GB"/>
        </w:rPr>
      </w:pPr>
      <w:hyperlink w:anchor="_Toc18076333" w:history="1">
        <w:r w:rsidRPr="00B6325D">
          <w:rPr>
            <w:rStyle w:val="Hyperlink"/>
            <w:noProof/>
          </w:rPr>
          <w:t>1.5</w:t>
        </w:r>
        <w:r>
          <w:rPr>
            <w:rFonts w:cstheme="minorBidi"/>
            <w:noProof/>
            <w:color w:val="auto"/>
            <w:sz w:val="22"/>
            <w:szCs w:val="22"/>
            <w:lang w:eastAsia="en-GB"/>
          </w:rPr>
          <w:tab/>
        </w:r>
        <w:r w:rsidRPr="00B6325D">
          <w:rPr>
            <w:rStyle w:val="Hyperlink"/>
            <w:noProof/>
          </w:rPr>
          <w:t>Overview of the study and methodology</w:t>
        </w:r>
        <w:r>
          <w:rPr>
            <w:noProof/>
            <w:webHidden/>
          </w:rPr>
          <w:tab/>
        </w:r>
        <w:r>
          <w:rPr>
            <w:noProof/>
            <w:webHidden/>
          </w:rPr>
          <w:fldChar w:fldCharType="begin"/>
        </w:r>
        <w:r>
          <w:rPr>
            <w:noProof/>
            <w:webHidden/>
          </w:rPr>
          <w:instrText xml:space="preserve"> PAGEREF _Toc18076333 \h </w:instrText>
        </w:r>
        <w:r>
          <w:rPr>
            <w:noProof/>
            <w:webHidden/>
          </w:rPr>
        </w:r>
        <w:r>
          <w:rPr>
            <w:noProof/>
            <w:webHidden/>
          </w:rPr>
          <w:fldChar w:fldCharType="separate"/>
        </w:r>
        <w:r>
          <w:rPr>
            <w:noProof/>
            <w:webHidden/>
          </w:rPr>
          <w:t>6</w:t>
        </w:r>
        <w:r>
          <w:rPr>
            <w:noProof/>
            <w:webHidden/>
          </w:rPr>
          <w:fldChar w:fldCharType="end"/>
        </w:r>
      </w:hyperlink>
    </w:p>
    <w:p w14:paraId="7F6B63C2" w14:textId="77777777" w:rsidR="00B721D7" w:rsidRDefault="00B721D7">
      <w:pPr>
        <w:pStyle w:val="TOC3"/>
        <w:rPr>
          <w:rFonts w:cstheme="minorBidi"/>
          <w:b w:val="0"/>
          <w:noProof/>
          <w:sz w:val="22"/>
          <w:szCs w:val="22"/>
          <w:lang w:eastAsia="en-GB"/>
        </w:rPr>
      </w:pPr>
      <w:hyperlink w:anchor="_Toc18076334" w:history="1">
        <w:r w:rsidRPr="00B6325D">
          <w:rPr>
            <w:rStyle w:val="Hyperlink"/>
            <w:noProof/>
          </w:rPr>
          <w:t>2</w:t>
        </w:r>
        <w:r>
          <w:rPr>
            <w:rFonts w:cstheme="minorBidi"/>
            <w:b w:val="0"/>
            <w:noProof/>
            <w:sz w:val="22"/>
            <w:szCs w:val="22"/>
            <w:lang w:eastAsia="en-GB"/>
          </w:rPr>
          <w:tab/>
        </w:r>
        <w:r w:rsidRPr="00B6325D">
          <w:rPr>
            <w:rStyle w:val="Hyperlink"/>
            <w:noProof/>
          </w:rPr>
          <w:t>The Maritime Sector in Wales</w:t>
        </w:r>
        <w:r>
          <w:rPr>
            <w:noProof/>
            <w:webHidden/>
          </w:rPr>
          <w:tab/>
        </w:r>
        <w:r>
          <w:rPr>
            <w:noProof/>
            <w:webHidden/>
          </w:rPr>
          <w:fldChar w:fldCharType="begin"/>
        </w:r>
        <w:r>
          <w:rPr>
            <w:noProof/>
            <w:webHidden/>
          </w:rPr>
          <w:instrText xml:space="preserve"> PAGEREF _Toc18076334 \h </w:instrText>
        </w:r>
        <w:r>
          <w:rPr>
            <w:noProof/>
            <w:webHidden/>
          </w:rPr>
        </w:r>
        <w:r>
          <w:rPr>
            <w:noProof/>
            <w:webHidden/>
          </w:rPr>
          <w:fldChar w:fldCharType="separate"/>
        </w:r>
        <w:r>
          <w:rPr>
            <w:noProof/>
            <w:webHidden/>
          </w:rPr>
          <w:t>9</w:t>
        </w:r>
        <w:r>
          <w:rPr>
            <w:noProof/>
            <w:webHidden/>
          </w:rPr>
          <w:fldChar w:fldCharType="end"/>
        </w:r>
      </w:hyperlink>
    </w:p>
    <w:p w14:paraId="55DEF5AC" w14:textId="77777777" w:rsidR="00B721D7" w:rsidRDefault="00B721D7">
      <w:pPr>
        <w:pStyle w:val="TOC4"/>
        <w:rPr>
          <w:rFonts w:cstheme="minorBidi"/>
          <w:noProof/>
          <w:color w:val="auto"/>
          <w:sz w:val="22"/>
          <w:szCs w:val="22"/>
          <w:lang w:eastAsia="en-GB"/>
        </w:rPr>
      </w:pPr>
      <w:hyperlink w:anchor="_Toc18076335" w:history="1">
        <w:r w:rsidRPr="00B6325D">
          <w:rPr>
            <w:rStyle w:val="Hyperlink"/>
            <w:noProof/>
          </w:rPr>
          <w:t>2.1</w:t>
        </w:r>
        <w:r>
          <w:rPr>
            <w:rFonts w:cstheme="minorBidi"/>
            <w:noProof/>
            <w:color w:val="auto"/>
            <w:sz w:val="22"/>
            <w:szCs w:val="22"/>
            <w:lang w:eastAsia="en-GB"/>
          </w:rPr>
          <w:tab/>
        </w:r>
        <w:r w:rsidRPr="00B6325D">
          <w:rPr>
            <w:rStyle w:val="Hyperlink"/>
            <w:noProof/>
          </w:rPr>
          <w:t>The definition of the Maritime Sector and its constituent industries</w:t>
        </w:r>
        <w:r>
          <w:rPr>
            <w:noProof/>
            <w:webHidden/>
          </w:rPr>
          <w:tab/>
        </w:r>
        <w:r>
          <w:rPr>
            <w:noProof/>
            <w:webHidden/>
          </w:rPr>
          <w:fldChar w:fldCharType="begin"/>
        </w:r>
        <w:r>
          <w:rPr>
            <w:noProof/>
            <w:webHidden/>
          </w:rPr>
          <w:instrText xml:space="preserve"> PAGEREF _Toc18076335 \h </w:instrText>
        </w:r>
        <w:r>
          <w:rPr>
            <w:noProof/>
            <w:webHidden/>
          </w:rPr>
        </w:r>
        <w:r>
          <w:rPr>
            <w:noProof/>
            <w:webHidden/>
          </w:rPr>
          <w:fldChar w:fldCharType="separate"/>
        </w:r>
        <w:r>
          <w:rPr>
            <w:noProof/>
            <w:webHidden/>
          </w:rPr>
          <w:t>9</w:t>
        </w:r>
        <w:r>
          <w:rPr>
            <w:noProof/>
            <w:webHidden/>
          </w:rPr>
          <w:fldChar w:fldCharType="end"/>
        </w:r>
      </w:hyperlink>
    </w:p>
    <w:p w14:paraId="6583AC69" w14:textId="77777777" w:rsidR="00B721D7" w:rsidRDefault="00B721D7">
      <w:pPr>
        <w:pStyle w:val="TOC4"/>
        <w:rPr>
          <w:rFonts w:cstheme="minorBidi"/>
          <w:noProof/>
          <w:color w:val="auto"/>
          <w:sz w:val="22"/>
          <w:szCs w:val="22"/>
          <w:lang w:eastAsia="en-GB"/>
        </w:rPr>
      </w:pPr>
      <w:hyperlink w:anchor="_Toc18076336" w:history="1">
        <w:r w:rsidRPr="00B6325D">
          <w:rPr>
            <w:rStyle w:val="Hyperlink"/>
            <w:noProof/>
          </w:rPr>
          <w:t>2.2</w:t>
        </w:r>
        <w:r>
          <w:rPr>
            <w:rFonts w:cstheme="minorBidi"/>
            <w:noProof/>
            <w:color w:val="auto"/>
            <w:sz w:val="22"/>
            <w:szCs w:val="22"/>
            <w:lang w:eastAsia="en-GB"/>
          </w:rPr>
          <w:tab/>
        </w:r>
        <w:r w:rsidRPr="00B6325D">
          <w:rPr>
            <w:rStyle w:val="Hyperlink"/>
            <w:noProof/>
          </w:rPr>
          <w:t>Mapping the Maritime Sector against the National Accounts framework</w:t>
        </w:r>
        <w:r>
          <w:rPr>
            <w:noProof/>
            <w:webHidden/>
          </w:rPr>
          <w:tab/>
        </w:r>
        <w:r>
          <w:rPr>
            <w:noProof/>
            <w:webHidden/>
          </w:rPr>
          <w:fldChar w:fldCharType="begin"/>
        </w:r>
        <w:r>
          <w:rPr>
            <w:noProof/>
            <w:webHidden/>
          </w:rPr>
          <w:instrText xml:space="preserve"> PAGEREF _Toc18076336 \h </w:instrText>
        </w:r>
        <w:r>
          <w:rPr>
            <w:noProof/>
            <w:webHidden/>
          </w:rPr>
        </w:r>
        <w:r>
          <w:rPr>
            <w:noProof/>
            <w:webHidden/>
          </w:rPr>
          <w:fldChar w:fldCharType="separate"/>
        </w:r>
        <w:r>
          <w:rPr>
            <w:noProof/>
            <w:webHidden/>
          </w:rPr>
          <w:t>10</w:t>
        </w:r>
        <w:r>
          <w:rPr>
            <w:noProof/>
            <w:webHidden/>
          </w:rPr>
          <w:fldChar w:fldCharType="end"/>
        </w:r>
      </w:hyperlink>
    </w:p>
    <w:p w14:paraId="077A2BB0" w14:textId="77777777" w:rsidR="00B721D7" w:rsidRDefault="00B721D7">
      <w:pPr>
        <w:pStyle w:val="TOC4"/>
        <w:rPr>
          <w:rFonts w:cstheme="minorBidi"/>
          <w:noProof/>
          <w:color w:val="auto"/>
          <w:sz w:val="22"/>
          <w:szCs w:val="22"/>
          <w:lang w:eastAsia="en-GB"/>
        </w:rPr>
      </w:pPr>
      <w:hyperlink w:anchor="_Toc18076337" w:history="1">
        <w:r w:rsidRPr="00B6325D">
          <w:rPr>
            <w:rStyle w:val="Hyperlink"/>
            <w:noProof/>
          </w:rPr>
          <w:t>2.3</w:t>
        </w:r>
        <w:r>
          <w:rPr>
            <w:rFonts w:cstheme="minorBidi"/>
            <w:noProof/>
            <w:color w:val="auto"/>
            <w:sz w:val="22"/>
            <w:szCs w:val="22"/>
            <w:lang w:eastAsia="en-GB"/>
          </w:rPr>
          <w:tab/>
        </w:r>
        <w:r w:rsidRPr="00B6325D">
          <w:rPr>
            <w:rStyle w:val="Hyperlink"/>
            <w:noProof/>
          </w:rPr>
          <w:t>Quantifying the direct economic impacts of the industry in Wales</w:t>
        </w:r>
        <w:r>
          <w:rPr>
            <w:noProof/>
            <w:webHidden/>
          </w:rPr>
          <w:tab/>
        </w:r>
        <w:r>
          <w:rPr>
            <w:noProof/>
            <w:webHidden/>
          </w:rPr>
          <w:fldChar w:fldCharType="begin"/>
        </w:r>
        <w:r>
          <w:rPr>
            <w:noProof/>
            <w:webHidden/>
          </w:rPr>
          <w:instrText xml:space="preserve"> PAGEREF _Toc18076337 \h </w:instrText>
        </w:r>
        <w:r>
          <w:rPr>
            <w:noProof/>
            <w:webHidden/>
          </w:rPr>
        </w:r>
        <w:r>
          <w:rPr>
            <w:noProof/>
            <w:webHidden/>
          </w:rPr>
          <w:fldChar w:fldCharType="separate"/>
        </w:r>
        <w:r>
          <w:rPr>
            <w:noProof/>
            <w:webHidden/>
          </w:rPr>
          <w:t>13</w:t>
        </w:r>
        <w:r>
          <w:rPr>
            <w:noProof/>
            <w:webHidden/>
          </w:rPr>
          <w:fldChar w:fldCharType="end"/>
        </w:r>
      </w:hyperlink>
    </w:p>
    <w:p w14:paraId="74EAB5DB" w14:textId="77777777" w:rsidR="00B721D7" w:rsidRDefault="00B721D7">
      <w:pPr>
        <w:pStyle w:val="TOC3"/>
        <w:rPr>
          <w:rFonts w:cstheme="minorBidi"/>
          <w:b w:val="0"/>
          <w:noProof/>
          <w:sz w:val="22"/>
          <w:szCs w:val="22"/>
          <w:lang w:eastAsia="en-GB"/>
        </w:rPr>
      </w:pPr>
      <w:hyperlink w:anchor="_Toc18076338" w:history="1">
        <w:r w:rsidRPr="00B6325D">
          <w:rPr>
            <w:rStyle w:val="Hyperlink"/>
            <w:noProof/>
          </w:rPr>
          <w:t>3</w:t>
        </w:r>
        <w:r>
          <w:rPr>
            <w:rFonts w:cstheme="minorBidi"/>
            <w:b w:val="0"/>
            <w:noProof/>
            <w:sz w:val="22"/>
            <w:szCs w:val="22"/>
            <w:lang w:eastAsia="en-GB"/>
          </w:rPr>
          <w:tab/>
        </w:r>
        <w:r w:rsidRPr="00B6325D">
          <w:rPr>
            <w:rStyle w:val="Hyperlink"/>
            <w:noProof/>
          </w:rPr>
          <w:t>The direct economic impact of the Maritime Sector in Wales</w:t>
        </w:r>
        <w:r>
          <w:rPr>
            <w:noProof/>
            <w:webHidden/>
          </w:rPr>
          <w:tab/>
        </w:r>
        <w:r>
          <w:rPr>
            <w:noProof/>
            <w:webHidden/>
          </w:rPr>
          <w:fldChar w:fldCharType="begin"/>
        </w:r>
        <w:r>
          <w:rPr>
            <w:noProof/>
            <w:webHidden/>
          </w:rPr>
          <w:instrText xml:space="preserve"> PAGEREF _Toc18076338 \h </w:instrText>
        </w:r>
        <w:r>
          <w:rPr>
            <w:noProof/>
            <w:webHidden/>
          </w:rPr>
        </w:r>
        <w:r>
          <w:rPr>
            <w:noProof/>
            <w:webHidden/>
          </w:rPr>
          <w:fldChar w:fldCharType="separate"/>
        </w:r>
        <w:r>
          <w:rPr>
            <w:noProof/>
            <w:webHidden/>
          </w:rPr>
          <w:t>18</w:t>
        </w:r>
        <w:r>
          <w:rPr>
            <w:noProof/>
            <w:webHidden/>
          </w:rPr>
          <w:fldChar w:fldCharType="end"/>
        </w:r>
      </w:hyperlink>
    </w:p>
    <w:p w14:paraId="6B4F983A" w14:textId="77777777" w:rsidR="00B721D7" w:rsidRDefault="00B721D7">
      <w:pPr>
        <w:pStyle w:val="TOC4"/>
        <w:rPr>
          <w:rFonts w:cstheme="minorBidi"/>
          <w:noProof/>
          <w:color w:val="auto"/>
          <w:sz w:val="22"/>
          <w:szCs w:val="22"/>
          <w:lang w:eastAsia="en-GB"/>
        </w:rPr>
      </w:pPr>
      <w:hyperlink w:anchor="_Toc18076339" w:history="1">
        <w:r w:rsidRPr="00B6325D">
          <w:rPr>
            <w:rStyle w:val="Hyperlink"/>
            <w:noProof/>
          </w:rPr>
          <w:t>3.1</w:t>
        </w:r>
        <w:r>
          <w:rPr>
            <w:rFonts w:cstheme="minorBidi"/>
            <w:noProof/>
            <w:color w:val="auto"/>
            <w:sz w:val="22"/>
            <w:szCs w:val="22"/>
            <w:lang w:eastAsia="en-GB"/>
          </w:rPr>
          <w:tab/>
        </w:r>
        <w:r w:rsidRPr="00B6325D">
          <w:rPr>
            <w:rStyle w:val="Hyperlink"/>
            <w:noProof/>
          </w:rPr>
          <w:t>The direct impact through turnover</w:t>
        </w:r>
        <w:r>
          <w:rPr>
            <w:noProof/>
            <w:webHidden/>
          </w:rPr>
          <w:tab/>
        </w:r>
        <w:r>
          <w:rPr>
            <w:noProof/>
            <w:webHidden/>
          </w:rPr>
          <w:fldChar w:fldCharType="begin"/>
        </w:r>
        <w:r>
          <w:rPr>
            <w:noProof/>
            <w:webHidden/>
          </w:rPr>
          <w:instrText xml:space="preserve"> PAGEREF _Toc18076339 \h </w:instrText>
        </w:r>
        <w:r>
          <w:rPr>
            <w:noProof/>
            <w:webHidden/>
          </w:rPr>
        </w:r>
        <w:r>
          <w:rPr>
            <w:noProof/>
            <w:webHidden/>
          </w:rPr>
          <w:fldChar w:fldCharType="separate"/>
        </w:r>
        <w:r>
          <w:rPr>
            <w:noProof/>
            <w:webHidden/>
          </w:rPr>
          <w:t>18</w:t>
        </w:r>
        <w:r>
          <w:rPr>
            <w:noProof/>
            <w:webHidden/>
          </w:rPr>
          <w:fldChar w:fldCharType="end"/>
        </w:r>
      </w:hyperlink>
    </w:p>
    <w:p w14:paraId="678FEB12" w14:textId="77777777" w:rsidR="00B721D7" w:rsidRDefault="00B721D7">
      <w:pPr>
        <w:pStyle w:val="TOC4"/>
        <w:rPr>
          <w:rFonts w:cstheme="minorBidi"/>
          <w:noProof/>
          <w:color w:val="auto"/>
          <w:sz w:val="22"/>
          <w:szCs w:val="22"/>
          <w:lang w:eastAsia="en-GB"/>
        </w:rPr>
      </w:pPr>
      <w:hyperlink w:anchor="_Toc18076340" w:history="1">
        <w:r w:rsidRPr="00B6325D">
          <w:rPr>
            <w:rStyle w:val="Hyperlink"/>
            <w:noProof/>
          </w:rPr>
          <w:t>3.2</w:t>
        </w:r>
        <w:r>
          <w:rPr>
            <w:rFonts w:cstheme="minorBidi"/>
            <w:noProof/>
            <w:color w:val="auto"/>
            <w:sz w:val="22"/>
            <w:szCs w:val="22"/>
            <w:lang w:eastAsia="en-GB"/>
          </w:rPr>
          <w:tab/>
        </w:r>
        <w:r w:rsidRPr="00B6325D">
          <w:rPr>
            <w:rStyle w:val="Hyperlink"/>
            <w:noProof/>
          </w:rPr>
          <w:t>The direct impact through GVA</w:t>
        </w:r>
        <w:r>
          <w:rPr>
            <w:noProof/>
            <w:webHidden/>
          </w:rPr>
          <w:tab/>
        </w:r>
        <w:r>
          <w:rPr>
            <w:noProof/>
            <w:webHidden/>
          </w:rPr>
          <w:fldChar w:fldCharType="begin"/>
        </w:r>
        <w:r>
          <w:rPr>
            <w:noProof/>
            <w:webHidden/>
          </w:rPr>
          <w:instrText xml:space="preserve"> PAGEREF _Toc18076340 \h </w:instrText>
        </w:r>
        <w:r>
          <w:rPr>
            <w:noProof/>
            <w:webHidden/>
          </w:rPr>
        </w:r>
        <w:r>
          <w:rPr>
            <w:noProof/>
            <w:webHidden/>
          </w:rPr>
          <w:fldChar w:fldCharType="separate"/>
        </w:r>
        <w:r>
          <w:rPr>
            <w:noProof/>
            <w:webHidden/>
          </w:rPr>
          <w:t>20</w:t>
        </w:r>
        <w:r>
          <w:rPr>
            <w:noProof/>
            <w:webHidden/>
          </w:rPr>
          <w:fldChar w:fldCharType="end"/>
        </w:r>
      </w:hyperlink>
    </w:p>
    <w:p w14:paraId="1739F113" w14:textId="77777777" w:rsidR="00B721D7" w:rsidRDefault="00B721D7">
      <w:pPr>
        <w:pStyle w:val="TOC4"/>
        <w:rPr>
          <w:rFonts w:cstheme="minorBidi"/>
          <w:noProof/>
          <w:color w:val="auto"/>
          <w:sz w:val="22"/>
          <w:szCs w:val="22"/>
          <w:lang w:eastAsia="en-GB"/>
        </w:rPr>
      </w:pPr>
      <w:hyperlink w:anchor="_Toc18076341" w:history="1">
        <w:r w:rsidRPr="00B6325D">
          <w:rPr>
            <w:rStyle w:val="Hyperlink"/>
            <w:noProof/>
          </w:rPr>
          <w:t>3.3</w:t>
        </w:r>
        <w:r>
          <w:rPr>
            <w:rFonts w:cstheme="minorBidi"/>
            <w:noProof/>
            <w:color w:val="auto"/>
            <w:sz w:val="22"/>
            <w:szCs w:val="22"/>
            <w:lang w:eastAsia="en-GB"/>
          </w:rPr>
          <w:tab/>
        </w:r>
        <w:r w:rsidRPr="00B6325D">
          <w:rPr>
            <w:rStyle w:val="Hyperlink"/>
            <w:noProof/>
          </w:rPr>
          <w:t>The direct impact through employment</w:t>
        </w:r>
        <w:r>
          <w:rPr>
            <w:noProof/>
            <w:webHidden/>
          </w:rPr>
          <w:tab/>
        </w:r>
        <w:r>
          <w:rPr>
            <w:noProof/>
            <w:webHidden/>
          </w:rPr>
          <w:fldChar w:fldCharType="begin"/>
        </w:r>
        <w:r>
          <w:rPr>
            <w:noProof/>
            <w:webHidden/>
          </w:rPr>
          <w:instrText xml:space="preserve"> PAGEREF _Toc18076341 \h </w:instrText>
        </w:r>
        <w:r>
          <w:rPr>
            <w:noProof/>
            <w:webHidden/>
          </w:rPr>
        </w:r>
        <w:r>
          <w:rPr>
            <w:noProof/>
            <w:webHidden/>
          </w:rPr>
          <w:fldChar w:fldCharType="separate"/>
        </w:r>
        <w:r>
          <w:rPr>
            <w:noProof/>
            <w:webHidden/>
          </w:rPr>
          <w:t>23</w:t>
        </w:r>
        <w:r>
          <w:rPr>
            <w:noProof/>
            <w:webHidden/>
          </w:rPr>
          <w:fldChar w:fldCharType="end"/>
        </w:r>
      </w:hyperlink>
    </w:p>
    <w:p w14:paraId="24E23015" w14:textId="77777777" w:rsidR="00B721D7" w:rsidRDefault="00B721D7">
      <w:pPr>
        <w:pStyle w:val="TOC4"/>
        <w:rPr>
          <w:rFonts w:cstheme="minorBidi"/>
          <w:noProof/>
          <w:color w:val="auto"/>
          <w:sz w:val="22"/>
          <w:szCs w:val="22"/>
          <w:lang w:eastAsia="en-GB"/>
        </w:rPr>
      </w:pPr>
      <w:hyperlink w:anchor="_Toc18076342" w:history="1">
        <w:r w:rsidRPr="00B6325D">
          <w:rPr>
            <w:rStyle w:val="Hyperlink"/>
            <w:noProof/>
          </w:rPr>
          <w:t>3.4</w:t>
        </w:r>
        <w:r>
          <w:rPr>
            <w:rFonts w:cstheme="minorBidi"/>
            <w:noProof/>
            <w:color w:val="auto"/>
            <w:sz w:val="22"/>
            <w:szCs w:val="22"/>
            <w:lang w:eastAsia="en-GB"/>
          </w:rPr>
          <w:tab/>
        </w:r>
        <w:r w:rsidRPr="00B6325D">
          <w:rPr>
            <w:rStyle w:val="Hyperlink"/>
            <w:noProof/>
          </w:rPr>
          <w:t>The direct impact through the compensation of employees</w:t>
        </w:r>
        <w:r>
          <w:rPr>
            <w:noProof/>
            <w:webHidden/>
          </w:rPr>
          <w:tab/>
        </w:r>
        <w:r>
          <w:rPr>
            <w:noProof/>
            <w:webHidden/>
          </w:rPr>
          <w:fldChar w:fldCharType="begin"/>
        </w:r>
        <w:r>
          <w:rPr>
            <w:noProof/>
            <w:webHidden/>
          </w:rPr>
          <w:instrText xml:space="preserve"> PAGEREF _Toc18076342 \h </w:instrText>
        </w:r>
        <w:r>
          <w:rPr>
            <w:noProof/>
            <w:webHidden/>
          </w:rPr>
        </w:r>
        <w:r>
          <w:rPr>
            <w:noProof/>
            <w:webHidden/>
          </w:rPr>
          <w:fldChar w:fldCharType="separate"/>
        </w:r>
        <w:r>
          <w:rPr>
            <w:noProof/>
            <w:webHidden/>
          </w:rPr>
          <w:t>24</w:t>
        </w:r>
        <w:r>
          <w:rPr>
            <w:noProof/>
            <w:webHidden/>
          </w:rPr>
          <w:fldChar w:fldCharType="end"/>
        </w:r>
      </w:hyperlink>
    </w:p>
    <w:p w14:paraId="145B68BA" w14:textId="77777777" w:rsidR="00B721D7" w:rsidRDefault="00B721D7">
      <w:pPr>
        <w:pStyle w:val="TOC4"/>
        <w:rPr>
          <w:rFonts w:cstheme="minorBidi"/>
          <w:noProof/>
          <w:color w:val="auto"/>
          <w:sz w:val="22"/>
          <w:szCs w:val="22"/>
          <w:lang w:eastAsia="en-GB"/>
        </w:rPr>
      </w:pPr>
      <w:hyperlink w:anchor="_Toc18076343" w:history="1">
        <w:r w:rsidRPr="00B6325D">
          <w:rPr>
            <w:rStyle w:val="Hyperlink"/>
            <w:noProof/>
          </w:rPr>
          <w:t>3.5</w:t>
        </w:r>
        <w:r>
          <w:rPr>
            <w:rFonts w:cstheme="minorBidi"/>
            <w:noProof/>
            <w:color w:val="auto"/>
            <w:sz w:val="22"/>
            <w:szCs w:val="22"/>
            <w:lang w:eastAsia="en-GB"/>
          </w:rPr>
          <w:tab/>
        </w:r>
        <w:r w:rsidRPr="00B6325D">
          <w:rPr>
            <w:rStyle w:val="Hyperlink"/>
            <w:noProof/>
          </w:rPr>
          <w:t>The direct Exchequer contribution in Wales</w:t>
        </w:r>
        <w:r>
          <w:rPr>
            <w:noProof/>
            <w:webHidden/>
          </w:rPr>
          <w:tab/>
        </w:r>
        <w:r>
          <w:rPr>
            <w:noProof/>
            <w:webHidden/>
          </w:rPr>
          <w:fldChar w:fldCharType="begin"/>
        </w:r>
        <w:r>
          <w:rPr>
            <w:noProof/>
            <w:webHidden/>
          </w:rPr>
          <w:instrText xml:space="preserve"> PAGEREF _Toc18076343 \h </w:instrText>
        </w:r>
        <w:r>
          <w:rPr>
            <w:noProof/>
            <w:webHidden/>
          </w:rPr>
        </w:r>
        <w:r>
          <w:rPr>
            <w:noProof/>
            <w:webHidden/>
          </w:rPr>
          <w:fldChar w:fldCharType="separate"/>
        </w:r>
        <w:r>
          <w:rPr>
            <w:noProof/>
            <w:webHidden/>
          </w:rPr>
          <w:t>26</w:t>
        </w:r>
        <w:r>
          <w:rPr>
            <w:noProof/>
            <w:webHidden/>
          </w:rPr>
          <w:fldChar w:fldCharType="end"/>
        </w:r>
      </w:hyperlink>
    </w:p>
    <w:p w14:paraId="11CD6BE8" w14:textId="77777777" w:rsidR="00B721D7" w:rsidRDefault="00B721D7">
      <w:pPr>
        <w:pStyle w:val="TOC4"/>
        <w:rPr>
          <w:rFonts w:cstheme="minorBidi"/>
          <w:noProof/>
          <w:color w:val="auto"/>
          <w:sz w:val="22"/>
          <w:szCs w:val="22"/>
          <w:lang w:eastAsia="en-GB"/>
        </w:rPr>
      </w:pPr>
      <w:hyperlink w:anchor="_Toc18076344" w:history="1">
        <w:r w:rsidRPr="00B6325D">
          <w:rPr>
            <w:rStyle w:val="Hyperlink"/>
            <w:noProof/>
          </w:rPr>
          <w:t>3.6</w:t>
        </w:r>
        <w:r>
          <w:rPr>
            <w:rFonts w:cstheme="minorBidi"/>
            <w:noProof/>
            <w:color w:val="auto"/>
            <w:sz w:val="22"/>
            <w:szCs w:val="22"/>
            <w:lang w:eastAsia="en-GB"/>
          </w:rPr>
          <w:tab/>
        </w:r>
        <w:r w:rsidRPr="00B6325D">
          <w:rPr>
            <w:rStyle w:val="Hyperlink"/>
            <w:noProof/>
          </w:rPr>
          <w:t>The direct contribution through exports</w:t>
        </w:r>
        <w:r>
          <w:rPr>
            <w:noProof/>
            <w:webHidden/>
          </w:rPr>
          <w:tab/>
        </w:r>
        <w:r>
          <w:rPr>
            <w:noProof/>
            <w:webHidden/>
          </w:rPr>
          <w:fldChar w:fldCharType="begin"/>
        </w:r>
        <w:r>
          <w:rPr>
            <w:noProof/>
            <w:webHidden/>
          </w:rPr>
          <w:instrText xml:space="preserve"> PAGEREF _Toc18076344 \h </w:instrText>
        </w:r>
        <w:r>
          <w:rPr>
            <w:noProof/>
            <w:webHidden/>
          </w:rPr>
        </w:r>
        <w:r>
          <w:rPr>
            <w:noProof/>
            <w:webHidden/>
          </w:rPr>
          <w:fldChar w:fldCharType="separate"/>
        </w:r>
        <w:r>
          <w:rPr>
            <w:noProof/>
            <w:webHidden/>
          </w:rPr>
          <w:t>28</w:t>
        </w:r>
        <w:r>
          <w:rPr>
            <w:noProof/>
            <w:webHidden/>
          </w:rPr>
          <w:fldChar w:fldCharType="end"/>
        </w:r>
      </w:hyperlink>
    </w:p>
    <w:p w14:paraId="10B16FF0" w14:textId="77777777" w:rsidR="00B721D7" w:rsidRDefault="00B721D7">
      <w:pPr>
        <w:pStyle w:val="TOC3"/>
        <w:rPr>
          <w:rFonts w:cstheme="minorBidi"/>
          <w:b w:val="0"/>
          <w:noProof/>
          <w:sz w:val="22"/>
          <w:szCs w:val="22"/>
          <w:lang w:eastAsia="en-GB"/>
        </w:rPr>
      </w:pPr>
      <w:hyperlink w:anchor="_Toc18076345" w:history="1">
        <w:r w:rsidRPr="00B6325D">
          <w:rPr>
            <w:rStyle w:val="Hyperlink"/>
            <w:noProof/>
          </w:rPr>
          <w:t>4</w:t>
        </w:r>
        <w:r>
          <w:rPr>
            <w:rFonts w:cstheme="minorBidi"/>
            <w:b w:val="0"/>
            <w:noProof/>
            <w:sz w:val="22"/>
            <w:szCs w:val="22"/>
            <w:lang w:eastAsia="en-GB"/>
          </w:rPr>
          <w:tab/>
        </w:r>
        <w:r w:rsidRPr="00B6325D">
          <w:rPr>
            <w:rStyle w:val="Hyperlink"/>
            <w:noProof/>
          </w:rPr>
          <w:t>The wider economic impact of the Maritime Sector in Wales</w:t>
        </w:r>
        <w:r>
          <w:rPr>
            <w:noProof/>
            <w:webHidden/>
          </w:rPr>
          <w:tab/>
        </w:r>
        <w:r>
          <w:rPr>
            <w:noProof/>
            <w:webHidden/>
          </w:rPr>
          <w:fldChar w:fldCharType="begin"/>
        </w:r>
        <w:r>
          <w:rPr>
            <w:noProof/>
            <w:webHidden/>
          </w:rPr>
          <w:instrText xml:space="preserve"> PAGEREF _Toc18076345 \h </w:instrText>
        </w:r>
        <w:r>
          <w:rPr>
            <w:noProof/>
            <w:webHidden/>
          </w:rPr>
        </w:r>
        <w:r>
          <w:rPr>
            <w:noProof/>
            <w:webHidden/>
          </w:rPr>
          <w:fldChar w:fldCharType="separate"/>
        </w:r>
        <w:r>
          <w:rPr>
            <w:noProof/>
            <w:webHidden/>
          </w:rPr>
          <w:t>30</w:t>
        </w:r>
        <w:r>
          <w:rPr>
            <w:noProof/>
            <w:webHidden/>
          </w:rPr>
          <w:fldChar w:fldCharType="end"/>
        </w:r>
      </w:hyperlink>
    </w:p>
    <w:p w14:paraId="021FF6B3" w14:textId="77777777" w:rsidR="00B721D7" w:rsidRDefault="00B721D7">
      <w:pPr>
        <w:pStyle w:val="TOC4"/>
        <w:rPr>
          <w:rFonts w:cstheme="minorBidi"/>
          <w:noProof/>
          <w:color w:val="auto"/>
          <w:sz w:val="22"/>
          <w:szCs w:val="22"/>
          <w:lang w:eastAsia="en-GB"/>
        </w:rPr>
      </w:pPr>
      <w:hyperlink w:anchor="_Toc18076346" w:history="1">
        <w:r w:rsidRPr="00B6325D">
          <w:rPr>
            <w:rStyle w:val="Hyperlink"/>
            <w:noProof/>
          </w:rPr>
          <w:t>4.1</w:t>
        </w:r>
        <w:r>
          <w:rPr>
            <w:rFonts w:cstheme="minorBidi"/>
            <w:noProof/>
            <w:color w:val="auto"/>
            <w:sz w:val="22"/>
            <w:szCs w:val="22"/>
            <w:lang w:eastAsia="en-GB"/>
          </w:rPr>
          <w:tab/>
        </w:r>
        <w:r w:rsidRPr="00B6325D">
          <w:rPr>
            <w:rStyle w:val="Hyperlink"/>
            <w:noProof/>
          </w:rPr>
          <w:t>The wider economic impacts through turnover</w:t>
        </w:r>
        <w:r>
          <w:rPr>
            <w:noProof/>
            <w:webHidden/>
          </w:rPr>
          <w:tab/>
        </w:r>
        <w:r>
          <w:rPr>
            <w:noProof/>
            <w:webHidden/>
          </w:rPr>
          <w:fldChar w:fldCharType="begin"/>
        </w:r>
        <w:r>
          <w:rPr>
            <w:noProof/>
            <w:webHidden/>
          </w:rPr>
          <w:instrText xml:space="preserve"> PAGEREF _Toc18076346 \h </w:instrText>
        </w:r>
        <w:r>
          <w:rPr>
            <w:noProof/>
            <w:webHidden/>
          </w:rPr>
        </w:r>
        <w:r>
          <w:rPr>
            <w:noProof/>
            <w:webHidden/>
          </w:rPr>
          <w:fldChar w:fldCharType="separate"/>
        </w:r>
        <w:r>
          <w:rPr>
            <w:noProof/>
            <w:webHidden/>
          </w:rPr>
          <w:t>30</w:t>
        </w:r>
        <w:r>
          <w:rPr>
            <w:noProof/>
            <w:webHidden/>
          </w:rPr>
          <w:fldChar w:fldCharType="end"/>
        </w:r>
      </w:hyperlink>
    </w:p>
    <w:p w14:paraId="1F47E076" w14:textId="77777777" w:rsidR="00B721D7" w:rsidRDefault="00B721D7">
      <w:pPr>
        <w:pStyle w:val="TOC4"/>
        <w:rPr>
          <w:rFonts w:cstheme="minorBidi"/>
          <w:noProof/>
          <w:color w:val="auto"/>
          <w:sz w:val="22"/>
          <w:szCs w:val="22"/>
          <w:lang w:eastAsia="en-GB"/>
        </w:rPr>
      </w:pPr>
      <w:hyperlink w:anchor="_Toc18076347" w:history="1">
        <w:r w:rsidRPr="00B6325D">
          <w:rPr>
            <w:rStyle w:val="Hyperlink"/>
            <w:noProof/>
          </w:rPr>
          <w:t>4.2</w:t>
        </w:r>
        <w:r>
          <w:rPr>
            <w:rFonts w:cstheme="minorBidi"/>
            <w:noProof/>
            <w:color w:val="auto"/>
            <w:sz w:val="22"/>
            <w:szCs w:val="22"/>
            <w:lang w:eastAsia="en-GB"/>
          </w:rPr>
          <w:tab/>
        </w:r>
        <w:r w:rsidRPr="00B6325D">
          <w:rPr>
            <w:rStyle w:val="Hyperlink"/>
            <w:noProof/>
          </w:rPr>
          <w:t>The wider economic impacts through GVA</w:t>
        </w:r>
        <w:r>
          <w:rPr>
            <w:noProof/>
            <w:webHidden/>
          </w:rPr>
          <w:tab/>
        </w:r>
        <w:r>
          <w:rPr>
            <w:noProof/>
            <w:webHidden/>
          </w:rPr>
          <w:fldChar w:fldCharType="begin"/>
        </w:r>
        <w:r>
          <w:rPr>
            <w:noProof/>
            <w:webHidden/>
          </w:rPr>
          <w:instrText xml:space="preserve"> PAGEREF _Toc18076347 \h </w:instrText>
        </w:r>
        <w:r>
          <w:rPr>
            <w:noProof/>
            <w:webHidden/>
          </w:rPr>
        </w:r>
        <w:r>
          <w:rPr>
            <w:noProof/>
            <w:webHidden/>
          </w:rPr>
          <w:fldChar w:fldCharType="separate"/>
        </w:r>
        <w:r>
          <w:rPr>
            <w:noProof/>
            <w:webHidden/>
          </w:rPr>
          <w:t>31</w:t>
        </w:r>
        <w:r>
          <w:rPr>
            <w:noProof/>
            <w:webHidden/>
          </w:rPr>
          <w:fldChar w:fldCharType="end"/>
        </w:r>
      </w:hyperlink>
    </w:p>
    <w:p w14:paraId="237AC186" w14:textId="77777777" w:rsidR="00B721D7" w:rsidRDefault="00B721D7">
      <w:pPr>
        <w:pStyle w:val="TOC4"/>
        <w:rPr>
          <w:rFonts w:cstheme="minorBidi"/>
          <w:noProof/>
          <w:color w:val="auto"/>
          <w:sz w:val="22"/>
          <w:szCs w:val="22"/>
          <w:lang w:eastAsia="en-GB"/>
        </w:rPr>
      </w:pPr>
      <w:hyperlink w:anchor="_Toc18076348" w:history="1">
        <w:r w:rsidRPr="00B6325D">
          <w:rPr>
            <w:rStyle w:val="Hyperlink"/>
            <w:noProof/>
          </w:rPr>
          <w:t>4.3</w:t>
        </w:r>
        <w:r>
          <w:rPr>
            <w:rFonts w:cstheme="minorBidi"/>
            <w:noProof/>
            <w:color w:val="auto"/>
            <w:sz w:val="22"/>
            <w:szCs w:val="22"/>
            <w:lang w:eastAsia="en-GB"/>
          </w:rPr>
          <w:tab/>
        </w:r>
        <w:r w:rsidRPr="00B6325D">
          <w:rPr>
            <w:rStyle w:val="Hyperlink"/>
            <w:noProof/>
          </w:rPr>
          <w:t>The wider economic impacts through employment</w:t>
        </w:r>
        <w:r>
          <w:rPr>
            <w:noProof/>
            <w:webHidden/>
          </w:rPr>
          <w:tab/>
        </w:r>
        <w:r>
          <w:rPr>
            <w:noProof/>
            <w:webHidden/>
          </w:rPr>
          <w:fldChar w:fldCharType="begin"/>
        </w:r>
        <w:r>
          <w:rPr>
            <w:noProof/>
            <w:webHidden/>
          </w:rPr>
          <w:instrText xml:space="preserve"> PAGEREF _Toc18076348 \h </w:instrText>
        </w:r>
        <w:r>
          <w:rPr>
            <w:noProof/>
            <w:webHidden/>
          </w:rPr>
        </w:r>
        <w:r>
          <w:rPr>
            <w:noProof/>
            <w:webHidden/>
          </w:rPr>
          <w:fldChar w:fldCharType="separate"/>
        </w:r>
        <w:r>
          <w:rPr>
            <w:noProof/>
            <w:webHidden/>
          </w:rPr>
          <w:t>33</w:t>
        </w:r>
        <w:r>
          <w:rPr>
            <w:noProof/>
            <w:webHidden/>
          </w:rPr>
          <w:fldChar w:fldCharType="end"/>
        </w:r>
      </w:hyperlink>
    </w:p>
    <w:p w14:paraId="375EF411" w14:textId="77777777" w:rsidR="00B721D7" w:rsidRDefault="00B721D7">
      <w:pPr>
        <w:pStyle w:val="TOC4"/>
        <w:rPr>
          <w:rFonts w:cstheme="minorBidi"/>
          <w:noProof/>
          <w:color w:val="auto"/>
          <w:sz w:val="22"/>
          <w:szCs w:val="22"/>
          <w:lang w:eastAsia="en-GB"/>
        </w:rPr>
      </w:pPr>
      <w:hyperlink w:anchor="_Toc18076349" w:history="1">
        <w:r w:rsidRPr="00B6325D">
          <w:rPr>
            <w:rStyle w:val="Hyperlink"/>
            <w:noProof/>
          </w:rPr>
          <w:t>4.4</w:t>
        </w:r>
        <w:r>
          <w:rPr>
            <w:rFonts w:cstheme="minorBidi"/>
            <w:noProof/>
            <w:color w:val="auto"/>
            <w:sz w:val="22"/>
            <w:szCs w:val="22"/>
            <w:lang w:eastAsia="en-GB"/>
          </w:rPr>
          <w:tab/>
        </w:r>
        <w:r w:rsidRPr="00B6325D">
          <w:rPr>
            <w:rStyle w:val="Hyperlink"/>
            <w:noProof/>
          </w:rPr>
          <w:t>The wider economic impacts through compensation of employees</w:t>
        </w:r>
        <w:r>
          <w:rPr>
            <w:noProof/>
            <w:webHidden/>
          </w:rPr>
          <w:tab/>
        </w:r>
        <w:r>
          <w:rPr>
            <w:noProof/>
            <w:webHidden/>
          </w:rPr>
          <w:fldChar w:fldCharType="begin"/>
        </w:r>
        <w:r>
          <w:rPr>
            <w:noProof/>
            <w:webHidden/>
          </w:rPr>
          <w:instrText xml:space="preserve"> PAGEREF _Toc18076349 \h </w:instrText>
        </w:r>
        <w:r>
          <w:rPr>
            <w:noProof/>
            <w:webHidden/>
          </w:rPr>
        </w:r>
        <w:r>
          <w:rPr>
            <w:noProof/>
            <w:webHidden/>
          </w:rPr>
          <w:fldChar w:fldCharType="separate"/>
        </w:r>
        <w:r>
          <w:rPr>
            <w:noProof/>
            <w:webHidden/>
          </w:rPr>
          <w:t>34</w:t>
        </w:r>
        <w:r>
          <w:rPr>
            <w:noProof/>
            <w:webHidden/>
          </w:rPr>
          <w:fldChar w:fldCharType="end"/>
        </w:r>
      </w:hyperlink>
    </w:p>
    <w:p w14:paraId="50C60777" w14:textId="77777777" w:rsidR="00B721D7" w:rsidRDefault="00B721D7">
      <w:pPr>
        <w:pStyle w:val="TOC3"/>
        <w:rPr>
          <w:rFonts w:cstheme="minorBidi"/>
          <w:b w:val="0"/>
          <w:noProof/>
          <w:sz w:val="22"/>
          <w:szCs w:val="22"/>
          <w:lang w:eastAsia="en-GB"/>
        </w:rPr>
      </w:pPr>
      <w:hyperlink w:anchor="_Toc18076350" w:history="1">
        <w:r w:rsidRPr="00B6325D">
          <w:rPr>
            <w:rStyle w:val="Hyperlink"/>
            <w:noProof/>
          </w:rPr>
          <w:t>5</w:t>
        </w:r>
        <w:r>
          <w:rPr>
            <w:rFonts w:cstheme="minorBidi"/>
            <w:b w:val="0"/>
            <w:noProof/>
            <w:sz w:val="22"/>
            <w:szCs w:val="22"/>
            <w:lang w:eastAsia="en-GB"/>
          </w:rPr>
          <w:tab/>
        </w:r>
        <w:r w:rsidRPr="00B6325D">
          <w:rPr>
            <w:rStyle w:val="Hyperlink"/>
            <w:noProof/>
          </w:rPr>
          <w:t>Maritime Sector in Wales: A Forward Look</w:t>
        </w:r>
        <w:r>
          <w:rPr>
            <w:noProof/>
            <w:webHidden/>
          </w:rPr>
          <w:tab/>
        </w:r>
        <w:r>
          <w:rPr>
            <w:noProof/>
            <w:webHidden/>
          </w:rPr>
          <w:fldChar w:fldCharType="begin"/>
        </w:r>
        <w:r>
          <w:rPr>
            <w:noProof/>
            <w:webHidden/>
          </w:rPr>
          <w:instrText xml:space="preserve"> PAGEREF _Toc18076350 \h </w:instrText>
        </w:r>
        <w:r>
          <w:rPr>
            <w:noProof/>
            <w:webHidden/>
          </w:rPr>
        </w:r>
        <w:r>
          <w:rPr>
            <w:noProof/>
            <w:webHidden/>
          </w:rPr>
          <w:fldChar w:fldCharType="separate"/>
        </w:r>
        <w:r>
          <w:rPr>
            <w:noProof/>
            <w:webHidden/>
          </w:rPr>
          <w:t>37</w:t>
        </w:r>
        <w:r>
          <w:rPr>
            <w:noProof/>
            <w:webHidden/>
          </w:rPr>
          <w:fldChar w:fldCharType="end"/>
        </w:r>
      </w:hyperlink>
    </w:p>
    <w:p w14:paraId="58195185" w14:textId="77777777" w:rsidR="00B721D7" w:rsidRDefault="00B721D7">
      <w:pPr>
        <w:pStyle w:val="TOC3"/>
        <w:rPr>
          <w:rFonts w:cstheme="minorBidi"/>
          <w:b w:val="0"/>
          <w:noProof/>
          <w:sz w:val="22"/>
          <w:szCs w:val="22"/>
          <w:lang w:eastAsia="en-GB"/>
        </w:rPr>
      </w:pPr>
      <w:hyperlink w:anchor="_Toc18076351" w:history="1">
        <w:r w:rsidRPr="00B6325D">
          <w:rPr>
            <w:rStyle w:val="Hyperlink"/>
            <w:noProof/>
          </w:rPr>
          <w:t>6</w:t>
        </w:r>
        <w:r>
          <w:rPr>
            <w:rFonts w:cstheme="minorBidi"/>
            <w:b w:val="0"/>
            <w:noProof/>
            <w:sz w:val="22"/>
            <w:szCs w:val="22"/>
            <w:lang w:eastAsia="en-GB"/>
          </w:rPr>
          <w:tab/>
        </w:r>
        <w:r w:rsidRPr="00B6325D">
          <w:rPr>
            <w:rStyle w:val="Hyperlink"/>
            <w:rFonts w:eastAsia="Microsoft JhengHei" w:cs="Arial"/>
            <w:noProof/>
          </w:rPr>
          <w:t>Case Study: Port facilitated economic development in Wales – Cardiff Bay</w:t>
        </w:r>
        <w:r>
          <w:rPr>
            <w:noProof/>
            <w:webHidden/>
          </w:rPr>
          <w:tab/>
        </w:r>
        <w:r>
          <w:rPr>
            <w:noProof/>
            <w:webHidden/>
          </w:rPr>
          <w:fldChar w:fldCharType="begin"/>
        </w:r>
        <w:r>
          <w:rPr>
            <w:noProof/>
            <w:webHidden/>
          </w:rPr>
          <w:instrText xml:space="preserve"> PAGEREF _Toc18076351 \h </w:instrText>
        </w:r>
        <w:r>
          <w:rPr>
            <w:noProof/>
            <w:webHidden/>
          </w:rPr>
        </w:r>
        <w:r>
          <w:rPr>
            <w:noProof/>
            <w:webHidden/>
          </w:rPr>
          <w:fldChar w:fldCharType="separate"/>
        </w:r>
        <w:r>
          <w:rPr>
            <w:noProof/>
            <w:webHidden/>
          </w:rPr>
          <w:t>40</w:t>
        </w:r>
        <w:r>
          <w:rPr>
            <w:noProof/>
            <w:webHidden/>
          </w:rPr>
          <w:fldChar w:fldCharType="end"/>
        </w:r>
      </w:hyperlink>
    </w:p>
    <w:p w14:paraId="5E594DBB" w14:textId="77777777" w:rsidR="00B721D7" w:rsidRDefault="00B721D7">
      <w:pPr>
        <w:pStyle w:val="TOC3"/>
        <w:rPr>
          <w:rFonts w:cstheme="minorBidi"/>
          <w:b w:val="0"/>
          <w:noProof/>
          <w:sz w:val="22"/>
          <w:szCs w:val="22"/>
          <w:lang w:eastAsia="en-GB"/>
        </w:rPr>
      </w:pPr>
      <w:hyperlink w:anchor="_Toc18076352" w:history="1">
        <w:r w:rsidRPr="00B6325D">
          <w:rPr>
            <w:rStyle w:val="Hyperlink"/>
            <w:noProof/>
          </w:rPr>
          <w:t>7</w:t>
        </w:r>
        <w:r>
          <w:rPr>
            <w:rFonts w:cstheme="minorBidi"/>
            <w:b w:val="0"/>
            <w:noProof/>
            <w:sz w:val="22"/>
            <w:szCs w:val="22"/>
            <w:lang w:eastAsia="en-GB"/>
          </w:rPr>
          <w:tab/>
        </w:r>
        <w:r w:rsidRPr="00B6325D">
          <w:rPr>
            <w:rStyle w:val="Hyperlink"/>
            <w:noProof/>
          </w:rPr>
          <w:t>Annex: List of Welsh ports</w:t>
        </w:r>
        <w:r>
          <w:rPr>
            <w:noProof/>
            <w:webHidden/>
          </w:rPr>
          <w:tab/>
        </w:r>
        <w:r>
          <w:rPr>
            <w:noProof/>
            <w:webHidden/>
          </w:rPr>
          <w:fldChar w:fldCharType="begin"/>
        </w:r>
        <w:r>
          <w:rPr>
            <w:noProof/>
            <w:webHidden/>
          </w:rPr>
          <w:instrText xml:space="preserve"> PAGEREF _Toc18076352 \h </w:instrText>
        </w:r>
        <w:r>
          <w:rPr>
            <w:noProof/>
            <w:webHidden/>
          </w:rPr>
        </w:r>
        <w:r>
          <w:rPr>
            <w:noProof/>
            <w:webHidden/>
          </w:rPr>
          <w:fldChar w:fldCharType="separate"/>
        </w:r>
        <w:r>
          <w:rPr>
            <w:noProof/>
            <w:webHidden/>
          </w:rPr>
          <w:t>42</w:t>
        </w:r>
        <w:r>
          <w:rPr>
            <w:noProof/>
            <w:webHidden/>
          </w:rPr>
          <w:fldChar w:fldCharType="end"/>
        </w:r>
      </w:hyperlink>
    </w:p>
    <w:p w14:paraId="55ED044A" w14:textId="6F2C8610" w:rsidR="00773CE3" w:rsidRDefault="00F6094A" w:rsidP="00082251">
      <w:pPr>
        <w:pStyle w:val="TOC3"/>
      </w:pPr>
      <w:r>
        <w:fldChar w:fldCharType="end"/>
      </w:r>
    </w:p>
    <w:p w14:paraId="00CA7DE7" w14:textId="2A8E1AEA" w:rsidR="00171DB7" w:rsidRDefault="00F01551" w:rsidP="00980EB9">
      <w:pPr>
        <w:pStyle w:val="Heading1"/>
        <w:numPr>
          <w:ilvl w:val="0"/>
          <w:numId w:val="0"/>
        </w:numPr>
      </w:pPr>
      <w:bookmarkStart w:id="1" w:name="_Toc18076327"/>
      <w:r>
        <w:lastRenderedPageBreak/>
        <w:t>Executive Summary</w:t>
      </w:r>
      <w:bookmarkEnd w:id="1"/>
    </w:p>
    <w:p w14:paraId="0C7846F0" w14:textId="28AB6556" w:rsidR="00326DB1" w:rsidRPr="00F25307" w:rsidRDefault="00F25307" w:rsidP="00F25307">
      <w:pPr>
        <w:pStyle w:val="ListBullet"/>
      </w:pPr>
      <w:r w:rsidRPr="00334A14">
        <w:rPr>
          <w:rFonts w:ascii="Calibri" w:eastAsia="Microsoft JhengHei" w:hAnsi="Calibri"/>
        </w:rPr>
        <w:t xml:space="preserve">The Centre for Economics and Business Research (Cebr) has been commissioned by Maritime UK to quantify the </w:t>
      </w:r>
      <w:r>
        <w:rPr>
          <w:rFonts w:ascii="Calibri" w:eastAsia="Microsoft JhengHei" w:hAnsi="Calibri"/>
        </w:rPr>
        <w:t xml:space="preserve">economic </w:t>
      </w:r>
      <w:r w:rsidRPr="00334A14">
        <w:rPr>
          <w:rFonts w:ascii="Calibri" w:eastAsia="Microsoft JhengHei" w:hAnsi="Calibri"/>
        </w:rPr>
        <w:t xml:space="preserve">contribution of the Maritime </w:t>
      </w:r>
      <w:r w:rsidR="00071DC7">
        <w:rPr>
          <w:rFonts w:ascii="Calibri" w:eastAsia="Microsoft JhengHei" w:hAnsi="Calibri"/>
        </w:rPr>
        <w:t>S</w:t>
      </w:r>
      <w:r>
        <w:rPr>
          <w:rFonts w:ascii="Calibri" w:eastAsia="Microsoft JhengHei" w:hAnsi="Calibri"/>
        </w:rPr>
        <w:t>ector</w:t>
      </w:r>
      <w:r w:rsidRPr="00334A14">
        <w:rPr>
          <w:rFonts w:ascii="Calibri" w:eastAsia="Microsoft JhengHei" w:hAnsi="Calibri"/>
        </w:rPr>
        <w:t xml:space="preserve"> </w:t>
      </w:r>
      <w:r>
        <w:rPr>
          <w:rFonts w:ascii="Calibri" w:eastAsia="Microsoft JhengHei" w:hAnsi="Calibri"/>
        </w:rPr>
        <w:t xml:space="preserve">in </w:t>
      </w:r>
      <w:r w:rsidR="000B1F8A">
        <w:rPr>
          <w:rFonts w:ascii="Calibri" w:eastAsia="Microsoft JhengHei" w:hAnsi="Calibri"/>
        </w:rPr>
        <w:t>Wales</w:t>
      </w:r>
      <w:r w:rsidRPr="00334A14">
        <w:rPr>
          <w:rFonts w:ascii="Calibri" w:eastAsia="Microsoft JhengHei" w:hAnsi="Calibri"/>
        </w:rPr>
        <w:t>.</w:t>
      </w:r>
      <w:r>
        <w:rPr>
          <w:rFonts w:ascii="Calibri" w:eastAsia="Microsoft JhengHei" w:hAnsi="Calibri"/>
        </w:rPr>
        <w:t xml:space="preserve"> This report is complementary with </w:t>
      </w:r>
      <w:r w:rsidR="00A420C1">
        <w:rPr>
          <w:rFonts w:ascii="Calibri" w:eastAsia="Microsoft JhengHei" w:hAnsi="Calibri"/>
        </w:rPr>
        <w:t>nine</w:t>
      </w:r>
      <w:r>
        <w:rPr>
          <w:rFonts w:ascii="Calibri" w:eastAsia="Microsoft JhengHei" w:hAnsi="Calibri"/>
        </w:rPr>
        <w:t xml:space="preserve"> other reports that assess the contribution of the Marit</w:t>
      </w:r>
      <w:r w:rsidR="00071DC7">
        <w:rPr>
          <w:rFonts w:ascii="Calibri" w:eastAsia="Microsoft JhengHei" w:hAnsi="Calibri"/>
        </w:rPr>
        <w:t>ime S</w:t>
      </w:r>
      <w:r>
        <w:rPr>
          <w:rFonts w:ascii="Calibri" w:eastAsia="Microsoft JhengHei" w:hAnsi="Calibri"/>
        </w:rPr>
        <w:t>ector, as a whole, at industry-level</w:t>
      </w:r>
      <w:r w:rsidR="00A420C1">
        <w:rPr>
          <w:rFonts w:ascii="Calibri" w:eastAsia="Microsoft JhengHei" w:hAnsi="Calibri"/>
        </w:rPr>
        <w:t>,</w:t>
      </w:r>
      <w:r>
        <w:rPr>
          <w:rFonts w:ascii="Calibri" w:eastAsia="Microsoft JhengHei" w:hAnsi="Calibri"/>
        </w:rPr>
        <w:t xml:space="preserve"> in the Solent Loc</w:t>
      </w:r>
      <w:r w:rsidR="00A420C1">
        <w:rPr>
          <w:rFonts w:ascii="Calibri" w:eastAsia="Microsoft JhengHei" w:hAnsi="Calibri"/>
        </w:rPr>
        <w:t xml:space="preserve">al Enterprise Partnership (LEP), Liverpool City Region and Scotland. </w:t>
      </w:r>
    </w:p>
    <w:p w14:paraId="6C34C5D7" w14:textId="32A874F6" w:rsidR="00F25307" w:rsidRPr="003A57C7" w:rsidRDefault="00F25307" w:rsidP="00F25307">
      <w:pPr>
        <w:pStyle w:val="ListBullet"/>
        <w:rPr>
          <w:rFonts w:ascii="Calibri" w:eastAsia="Microsoft JhengHei" w:hAnsi="Calibri"/>
        </w:rPr>
      </w:pPr>
      <w:r w:rsidRPr="00F25307">
        <w:rPr>
          <w:b/>
        </w:rPr>
        <w:t>In this contex</w:t>
      </w:r>
      <w:r w:rsidR="00A420C1">
        <w:rPr>
          <w:b/>
        </w:rPr>
        <w:t>t, the Maritime S</w:t>
      </w:r>
      <w:r w:rsidRPr="00F25307">
        <w:rPr>
          <w:b/>
        </w:rPr>
        <w:t xml:space="preserve">ector has been defined as consisting of the </w:t>
      </w:r>
      <w:r w:rsidR="00A420C1" w:rsidRPr="00F25307">
        <w:rPr>
          <w:b/>
        </w:rPr>
        <w:t>ports,</w:t>
      </w:r>
      <w:r w:rsidR="00A420C1">
        <w:rPr>
          <w:b/>
        </w:rPr>
        <w:t xml:space="preserve"> </w:t>
      </w:r>
      <w:r w:rsidR="00A420C1" w:rsidRPr="00F25307">
        <w:rPr>
          <w:b/>
        </w:rPr>
        <w:t>shipping</w:t>
      </w:r>
      <w:r w:rsidR="00A420C1">
        <w:rPr>
          <w:b/>
        </w:rPr>
        <w:t>,</w:t>
      </w:r>
      <w:r w:rsidR="00A420C1" w:rsidRPr="00F25307">
        <w:rPr>
          <w:b/>
        </w:rPr>
        <w:t xml:space="preserve"> mar</w:t>
      </w:r>
      <w:r w:rsidRPr="00F25307">
        <w:rPr>
          <w:b/>
        </w:rPr>
        <w:t xml:space="preserve">ine </w:t>
      </w:r>
      <w:r w:rsidR="00A420C1">
        <w:rPr>
          <w:b/>
        </w:rPr>
        <w:t xml:space="preserve">engineering and scientific, leisure marine </w:t>
      </w:r>
      <w:r w:rsidRPr="00F25307">
        <w:rPr>
          <w:b/>
        </w:rPr>
        <w:t>and Maritime Business Services industries.</w:t>
      </w:r>
      <w:r>
        <w:t xml:space="preserve"> Each of these entities comprises a multitude of different activities, data for which has been aligned against the national accounts framework. </w:t>
      </w:r>
    </w:p>
    <w:p w14:paraId="4A960B27" w14:textId="40269C45" w:rsidR="00F25307" w:rsidRPr="00A2678C" w:rsidRDefault="00A420C1" w:rsidP="00F25307">
      <w:pPr>
        <w:pStyle w:val="ListBullet"/>
        <w:rPr>
          <w:rFonts w:ascii="Calibri" w:eastAsia="Microsoft JhengHei" w:hAnsi="Calibri"/>
        </w:rPr>
      </w:pPr>
      <w:r>
        <w:t>The Maritime S</w:t>
      </w:r>
      <w:r w:rsidR="00F25307">
        <w:t>ector in Wales makes a</w:t>
      </w:r>
      <w:r w:rsidR="00A2678C">
        <w:t>n important</w:t>
      </w:r>
      <w:r w:rsidR="00F25307">
        <w:t xml:space="preserve"> macroeconomic contribution to the Welsh and UK economies through business turnover, Gross Value Added (GVA), employment and through the compensation of employees. </w:t>
      </w:r>
      <w:r w:rsidR="00F25307" w:rsidRPr="00B65044">
        <w:rPr>
          <w:b/>
        </w:rPr>
        <w:t xml:space="preserve">It is estimated </w:t>
      </w:r>
      <w:r w:rsidR="00F25307">
        <w:rPr>
          <w:b/>
        </w:rPr>
        <w:t xml:space="preserve">that the </w:t>
      </w:r>
      <w:r w:rsidR="00491B4A">
        <w:rPr>
          <w:b/>
        </w:rPr>
        <w:t xml:space="preserve">Welsh </w:t>
      </w:r>
      <w:r w:rsidR="007360E0">
        <w:rPr>
          <w:b/>
        </w:rPr>
        <w:t>Maritime S</w:t>
      </w:r>
      <w:r w:rsidR="00F25307">
        <w:rPr>
          <w:b/>
        </w:rPr>
        <w:t>ector d</w:t>
      </w:r>
      <w:r w:rsidR="00C81A27">
        <w:rPr>
          <w:b/>
        </w:rPr>
        <w:t>irectly supported</w:t>
      </w:r>
      <w:r w:rsidR="00793396">
        <w:rPr>
          <w:b/>
        </w:rPr>
        <w:t xml:space="preserve"> £</w:t>
      </w:r>
      <w:r w:rsidR="00C81A27">
        <w:rPr>
          <w:b/>
        </w:rPr>
        <w:t>493</w:t>
      </w:r>
      <w:r>
        <w:rPr>
          <w:b/>
        </w:rPr>
        <w:t xml:space="preserve"> </w:t>
      </w:r>
      <w:r w:rsidR="00071DC7">
        <w:rPr>
          <w:b/>
        </w:rPr>
        <w:t>million through</w:t>
      </w:r>
      <w:r w:rsidR="00F25307">
        <w:rPr>
          <w:b/>
        </w:rPr>
        <w:t xml:space="preserve"> </w:t>
      </w:r>
      <w:r w:rsidR="00071DC7">
        <w:rPr>
          <w:b/>
        </w:rPr>
        <w:t>business turnover</w:t>
      </w:r>
      <w:r w:rsidR="00F25307" w:rsidRPr="00BC7DC4">
        <w:rPr>
          <w:b/>
        </w:rPr>
        <w:t>, £</w:t>
      </w:r>
      <w:r w:rsidR="00C81A27">
        <w:rPr>
          <w:b/>
        </w:rPr>
        <w:t>256</w:t>
      </w:r>
      <w:r w:rsidR="00F25307">
        <w:rPr>
          <w:b/>
        </w:rPr>
        <w:t xml:space="preserve"> million in GVA and </w:t>
      </w:r>
      <w:r w:rsidR="00692BF3">
        <w:rPr>
          <w:b/>
        </w:rPr>
        <w:t>4,067</w:t>
      </w:r>
      <w:r w:rsidR="00F25307">
        <w:rPr>
          <w:b/>
        </w:rPr>
        <w:t xml:space="preserve"> jobs in </w:t>
      </w:r>
      <w:r w:rsidR="000B1F8A">
        <w:rPr>
          <w:b/>
        </w:rPr>
        <w:t>Wales</w:t>
      </w:r>
      <w:r w:rsidR="00F25307">
        <w:rPr>
          <w:b/>
        </w:rPr>
        <w:t xml:space="preserve"> in 201</w:t>
      </w:r>
      <w:r w:rsidR="00692BF3">
        <w:rPr>
          <w:b/>
        </w:rPr>
        <w:t>7</w:t>
      </w:r>
      <w:r w:rsidR="00F25307" w:rsidRPr="00B65044">
        <w:rPr>
          <w:b/>
        </w:rPr>
        <w:t>.</w:t>
      </w:r>
      <w:r w:rsidR="00F25307">
        <w:t xml:space="preserve"> </w:t>
      </w:r>
    </w:p>
    <w:p w14:paraId="2EA52C8C" w14:textId="46B87B9D" w:rsidR="00F25307" w:rsidRPr="00567762" w:rsidRDefault="00567762" w:rsidP="00F25307">
      <w:pPr>
        <w:pStyle w:val="ListBullet"/>
      </w:pPr>
      <w:r w:rsidRPr="00071DC7">
        <w:rPr>
          <w:b/>
        </w:rPr>
        <w:t xml:space="preserve">The </w:t>
      </w:r>
      <w:r w:rsidR="00692BF3" w:rsidRPr="00071DC7">
        <w:rPr>
          <w:b/>
        </w:rPr>
        <w:t>s</w:t>
      </w:r>
      <w:r w:rsidRPr="00071DC7">
        <w:rPr>
          <w:b/>
        </w:rPr>
        <w:t>hipping industry is the largest constituent indu</w:t>
      </w:r>
      <w:r w:rsidR="00071DC7" w:rsidRPr="00071DC7">
        <w:rPr>
          <w:b/>
        </w:rPr>
        <w:t>stry within the Welsh Maritime S</w:t>
      </w:r>
      <w:r w:rsidRPr="00071DC7">
        <w:rPr>
          <w:b/>
        </w:rPr>
        <w:t>ector in terms of economic activity</w:t>
      </w:r>
      <w:r w:rsidRPr="00574D4E">
        <w:t xml:space="preserve">, directly contributing </w:t>
      </w:r>
      <w:r w:rsidR="00692BF3">
        <w:t xml:space="preserve">£248 million in </w:t>
      </w:r>
      <w:r w:rsidR="00071DC7">
        <w:t>turnover</w:t>
      </w:r>
      <w:r w:rsidR="00692BF3">
        <w:t>, £127</w:t>
      </w:r>
      <w:r w:rsidR="00EF0168" w:rsidRPr="00574D4E">
        <w:t xml:space="preserve"> million in GVA, and </w:t>
      </w:r>
      <w:r w:rsidRPr="00574D4E">
        <w:t>dir</w:t>
      </w:r>
      <w:r w:rsidR="00692BF3">
        <w:t xml:space="preserve">ectly supporting approximately 1,379 </w:t>
      </w:r>
      <w:r w:rsidRPr="00574D4E">
        <w:t>jobs in 201</w:t>
      </w:r>
      <w:r w:rsidR="00692BF3">
        <w:t>7</w:t>
      </w:r>
      <w:r w:rsidRPr="00574D4E">
        <w:t>.</w:t>
      </w:r>
      <w:r>
        <w:rPr>
          <w:b/>
        </w:rPr>
        <w:t xml:space="preserve"> </w:t>
      </w:r>
    </w:p>
    <w:p w14:paraId="55C908B2" w14:textId="314F95E7" w:rsidR="00567762" w:rsidRDefault="00567762" w:rsidP="00F25307">
      <w:pPr>
        <w:pStyle w:val="ListBullet"/>
      </w:pPr>
      <w:r>
        <w:rPr>
          <w:b/>
        </w:rPr>
        <w:t>It is estimated that the Maritime</w:t>
      </w:r>
      <w:r w:rsidR="00692BF3">
        <w:rPr>
          <w:b/>
        </w:rPr>
        <w:t xml:space="preserve"> S</w:t>
      </w:r>
      <w:r w:rsidR="00F93630">
        <w:rPr>
          <w:b/>
        </w:rPr>
        <w:t>ector in Wales contributed £</w:t>
      </w:r>
      <w:r w:rsidR="00AB58F0">
        <w:rPr>
          <w:b/>
        </w:rPr>
        <w:t>94</w:t>
      </w:r>
      <w:r w:rsidR="00692BF3">
        <w:rPr>
          <w:b/>
        </w:rPr>
        <w:t xml:space="preserve"> </w:t>
      </w:r>
      <w:r>
        <w:rPr>
          <w:b/>
        </w:rPr>
        <w:t>mil</w:t>
      </w:r>
      <w:r w:rsidR="00692BF3">
        <w:rPr>
          <w:b/>
        </w:rPr>
        <w:t>lion to the UK Exchequer in 2017</w:t>
      </w:r>
      <w:r>
        <w:rPr>
          <w:b/>
        </w:rPr>
        <w:t xml:space="preserve">, </w:t>
      </w:r>
      <w:r w:rsidRPr="00B41214">
        <w:rPr>
          <w:b/>
        </w:rPr>
        <w:t xml:space="preserve">spread across VAT, Corporation Tax, Income Tax, </w:t>
      </w:r>
      <w:r>
        <w:rPr>
          <w:b/>
        </w:rPr>
        <w:t>National Insurance Contributions (NICs)</w:t>
      </w:r>
      <w:r w:rsidRPr="00B41214">
        <w:rPr>
          <w:b/>
        </w:rPr>
        <w:t xml:space="preserve"> and Business Rates</w:t>
      </w:r>
      <w:r w:rsidR="00A003C0">
        <w:rPr>
          <w:b/>
        </w:rPr>
        <w:t xml:space="preserve">. </w:t>
      </w:r>
    </w:p>
    <w:p w14:paraId="4DB27880" w14:textId="51A3CC03" w:rsidR="00EB34D9" w:rsidRDefault="00EB34D9" w:rsidP="00EB34D9">
      <w:pPr>
        <w:pStyle w:val="ListBullet"/>
      </w:pPr>
      <w:r>
        <w:t xml:space="preserve">After quantifying the wider economic impacts through the industry supply chains and induced effects on expenditures, </w:t>
      </w:r>
      <w:r w:rsidRPr="008810CD">
        <w:rPr>
          <w:b/>
        </w:rPr>
        <w:t xml:space="preserve">it is estimated that </w:t>
      </w:r>
      <w:r w:rsidR="00071DC7">
        <w:rPr>
          <w:b/>
        </w:rPr>
        <w:t>the Maritime S</w:t>
      </w:r>
      <w:r>
        <w:rPr>
          <w:b/>
        </w:rPr>
        <w:t>ector in Wales helped to support</w:t>
      </w:r>
      <w:r w:rsidRPr="008810CD">
        <w:rPr>
          <w:b/>
        </w:rPr>
        <w:t xml:space="preserve"> a total of </w:t>
      </w:r>
      <w:r w:rsidR="00F93630">
        <w:rPr>
          <w:b/>
        </w:rPr>
        <w:t xml:space="preserve">almost </w:t>
      </w:r>
      <w:r w:rsidRPr="008810CD">
        <w:rPr>
          <w:b/>
        </w:rPr>
        <w:t>£</w:t>
      </w:r>
      <w:r w:rsidR="00B9586B">
        <w:rPr>
          <w:b/>
        </w:rPr>
        <w:t>640</w:t>
      </w:r>
      <w:r>
        <w:rPr>
          <w:b/>
        </w:rPr>
        <w:t xml:space="preserve"> m</w:t>
      </w:r>
      <w:r w:rsidRPr="008810CD">
        <w:rPr>
          <w:b/>
        </w:rPr>
        <w:t>illion of GVA in 201</w:t>
      </w:r>
      <w:r w:rsidR="00B9586B">
        <w:rPr>
          <w:b/>
        </w:rPr>
        <w:t xml:space="preserve">7. </w:t>
      </w:r>
      <w:r>
        <w:t xml:space="preserve">This implies that, for every £1 in GVA directly contributed by the Welsh Maritime </w:t>
      </w:r>
      <w:r w:rsidR="00071DC7">
        <w:t>Sector in 2017, a total of £2.5</w:t>
      </w:r>
      <w:r w:rsidR="00F93630">
        <w:t>0</w:t>
      </w:r>
      <w:r>
        <w:t xml:space="preserve"> in GVA is </w:t>
      </w:r>
      <w:r w:rsidR="00CD493D">
        <w:t>supported</w:t>
      </w:r>
      <w:r>
        <w:t xml:space="preserve"> across the wider Welsh and UK economies.</w:t>
      </w:r>
    </w:p>
    <w:p w14:paraId="280E7F04" w14:textId="2DADC931" w:rsidR="00EB34D9" w:rsidRPr="00DC597B" w:rsidRDefault="00EB34D9" w:rsidP="00EB34D9">
      <w:pPr>
        <w:pStyle w:val="ListBullet"/>
      </w:pPr>
      <w:r>
        <w:t>These wider economic impacts associated with the We</w:t>
      </w:r>
      <w:r w:rsidR="00071DC7">
        <w:t>lsh Maritime S</w:t>
      </w:r>
      <w:r>
        <w:t xml:space="preserve">ector also extend to business turnover, employment and the compensation of employees. </w:t>
      </w:r>
      <w:r w:rsidRPr="00445385">
        <w:rPr>
          <w:b/>
        </w:rPr>
        <w:t>I</w:t>
      </w:r>
      <w:r w:rsidRPr="008810CD">
        <w:rPr>
          <w:b/>
        </w:rPr>
        <w:t xml:space="preserve">t is estimated that </w:t>
      </w:r>
      <w:r w:rsidR="00071DC7">
        <w:rPr>
          <w:b/>
        </w:rPr>
        <w:t>the Maritime S</w:t>
      </w:r>
      <w:r>
        <w:rPr>
          <w:b/>
        </w:rPr>
        <w:t>ector in Wales</w:t>
      </w:r>
      <w:r w:rsidRPr="008810CD">
        <w:rPr>
          <w:b/>
        </w:rPr>
        <w:t xml:space="preserve"> </w:t>
      </w:r>
      <w:r>
        <w:rPr>
          <w:b/>
        </w:rPr>
        <w:t>helped to support</w:t>
      </w:r>
      <w:r w:rsidRPr="008810CD">
        <w:rPr>
          <w:b/>
        </w:rPr>
        <w:t xml:space="preserve"> </w:t>
      </w:r>
      <w:r w:rsidR="00071DC7">
        <w:rPr>
          <w:b/>
        </w:rPr>
        <w:t>a total of approximately £1</w:t>
      </w:r>
      <w:r>
        <w:rPr>
          <w:b/>
        </w:rPr>
        <w:t xml:space="preserve"> billion</w:t>
      </w:r>
      <w:r w:rsidR="00071DC7">
        <w:rPr>
          <w:b/>
        </w:rPr>
        <w:t xml:space="preserve"> through</w:t>
      </w:r>
      <w:r>
        <w:rPr>
          <w:b/>
        </w:rPr>
        <w:t xml:space="preserve"> </w:t>
      </w:r>
      <w:r w:rsidR="00071DC7">
        <w:rPr>
          <w:b/>
        </w:rPr>
        <w:t>business turnover,</w:t>
      </w:r>
      <w:r>
        <w:rPr>
          <w:b/>
        </w:rPr>
        <w:t xml:space="preserve"> </w:t>
      </w:r>
      <w:r w:rsidR="00071DC7">
        <w:rPr>
          <w:b/>
        </w:rPr>
        <w:t>19,900 jobs and £230</w:t>
      </w:r>
      <w:r w:rsidR="00C9551F">
        <w:rPr>
          <w:b/>
        </w:rPr>
        <w:t xml:space="preserve"> </w:t>
      </w:r>
      <w:r>
        <w:rPr>
          <w:b/>
        </w:rPr>
        <w:t>million through the c</w:t>
      </w:r>
      <w:r w:rsidR="00071DC7">
        <w:rPr>
          <w:b/>
        </w:rPr>
        <w:t>ompensation of employees in 2017</w:t>
      </w:r>
      <w:r>
        <w:rPr>
          <w:b/>
        </w:rPr>
        <w:t>.</w:t>
      </w:r>
    </w:p>
    <w:p w14:paraId="0F5C1EBF" w14:textId="77777777" w:rsidR="00EB34D9" w:rsidRDefault="00EB34D9" w:rsidP="00EB34D9">
      <w:pPr>
        <w:pStyle w:val="ListBullet"/>
        <w:numPr>
          <w:ilvl w:val="0"/>
          <w:numId w:val="0"/>
        </w:numPr>
        <w:ind w:left="360"/>
      </w:pPr>
    </w:p>
    <w:p w14:paraId="7C6DF4B2" w14:textId="21515A9C" w:rsidR="00607188" w:rsidRDefault="00607188" w:rsidP="00B81589">
      <w:pPr>
        <w:pStyle w:val="Heading1"/>
      </w:pPr>
      <w:bookmarkStart w:id="2" w:name="_Toc18076328"/>
      <w:r>
        <w:lastRenderedPageBreak/>
        <w:t>Introduction</w:t>
      </w:r>
      <w:bookmarkEnd w:id="2"/>
    </w:p>
    <w:p w14:paraId="4497B28D" w14:textId="53522C89" w:rsidR="00E237C2" w:rsidRDefault="00F25307" w:rsidP="00E237C2">
      <w:r>
        <w:t>This is a report by the Centre for Economics and Business Research (</w:t>
      </w:r>
      <w:r w:rsidR="00E237C2">
        <w:t>Cebr</w:t>
      </w:r>
      <w:r>
        <w:t xml:space="preserve">) on behalf of </w:t>
      </w:r>
      <w:r w:rsidR="00E237C2">
        <w:t>Maritime UK on the e</w:t>
      </w:r>
      <w:r w:rsidR="00071DC7">
        <w:t>conomic impact of the Maritime S</w:t>
      </w:r>
      <w:r w:rsidR="00E237C2">
        <w:t>ector in Wales. In this context</w:t>
      </w:r>
      <w:r w:rsidR="00071DC7">
        <w:t xml:space="preserve"> and henceforth, the “Maritime S</w:t>
      </w:r>
      <w:r w:rsidR="00E237C2">
        <w:t>ector</w:t>
      </w:r>
      <w:r w:rsidR="00071DC7">
        <w:t>” is defined as comprising the p</w:t>
      </w:r>
      <w:r w:rsidR="00E237C2">
        <w:t>orts,</w:t>
      </w:r>
      <w:r w:rsidR="00071DC7">
        <w:t xml:space="preserve"> shipping, leisure m</w:t>
      </w:r>
      <w:r w:rsidR="00AA7195">
        <w:t>arine</w:t>
      </w:r>
      <w:r w:rsidR="00071DC7">
        <w:t>, marine engineering and scientific</w:t>
      </w:r>
      <w:r w:rsidR="00E237C2">
        <w:t xml:space="preserve"> and Maritime Business Services industries. </w:t>
      </w:r>
    </w:p>
    <w:p w14:paraId="0AA99DB9" w14:textId="3CD7065B" w:rsidR="00E237C2" w:rsidRDefault="00E237C2" w:rsidP="00E237C2">
      <w:r>
        <w:t xml:space="preserve">This report is complementary with </w:t>
      </w:r>
      <w:r w:rsidR="006019DE">
        <w:t>nine</w:t>
      </w:r>
      <w:r>
        <w:t xml:space="preserve"> other reports that focus on the economic contrib</w:t>
      </w:r>
      <w:r w:rsidR="00071DC7">
        <w:t>ution of the UK Maritime S</w:t>
      </w:r>
      <w:r w:rsidR="006019DE">
        <w:t>ector at both at a national and regional level.</w:t>
      </w:r>
      <w:r>
        <w:t xml:space="preserve"> Our examination spans the period from 2010 to 201</w:t>
      </w:r>
      <w:r w:rsidR="00AD75D9">
        <w:t>7</w:t>
      </w:r>
      <w:r>
        <w:t xml:space="preserve"> inclusive, with the latter being the latest year for which full data are available, and endeavours to capture the full econom</w:t>
      </w:r>
      <w:r w:rsidR="00071DC7">
        <w:t>ic ‘footprint’ of the Maritime S</w:t>
      </w:r>
      <w:r>
        <w:t xml:space="preserve">ector in Wales. As such, our report is not confined to direct ongoing contributions to GDP and employment through operations and activity in </w:t>
      </w:r>
      <w:r w:rsidR="001C73C3">
        <w:t>Wales</w:t>
      </w:r>
      <w:r>
        <w:t xml:space="preserve">, but also provides assessments of the associated indirect and induced multiplier impacts. </w:t>
      </w:r>
    </w:p>
    <w:p w14:paraId="7F512B52" w14:textId="77777777" w:rsidR="00E237C2" w:rsidRDefault="00E237C2" w:rsidP="00E237C2">
      <w:pPr>
        <w:pStyle w:val="Heading2"/>
      </w:pPr>
      <w:bookmarkStart w:id="3" w:name="_Toc488396641"/>
      <w:bookmarkStart w:id="4" w:name="_Toc18076329"/>
      <w:r>
        <w:t>About Maritime UK</w:t>
      </w:r>
      <w:bookmarkEnd w:id="3"/>
      <w:bookmarkEnd w:id="4"/>
    </w:p>
    <w:p w14:paraId="68B654F3" w14:textId="5B956EF6" w:rsidR="007144FF" w:rsidRDefault="00654BBE" w:rsidP="007144FF">
      <w:bookmarkStart w:id="5" w:name="_Toc488396644"/>
      <w:r>
        <w:t>Maritime UK is the industry</w:t>
      </w:r>
      <w:r w:rsidR="007144FF" w:rsidRPr="00BF6199">
        <w:t xml:space="preserve"> body for the UK’s </w:t>
      </w:r>
      <w:r>
        <w:t>Maritime Sector</w:t>
      </w:r>
      <w:r w:rsidR="007144FF" w:rsidRPr="00BF6199">
        <w:t>, representing companies and partner organisations in the shipping, ports,</w:t>
      </w:r>
      <w:r w:rsidR="00071DC7">
        <w:t xml:space="preserve"> leisure</w:t>
      </w:r>
      <w:r w:rsidR="007144FF" w:rsidRPr="00BF6199">
        <w:t xml:space="preserve"> marine</w:t>
      </w:r>
      <w:r w:rsidR="00071DC7">
        <w:t>, marine engineering and scientific and Maritime Business S</w:t>
      </w:r>
      <w:r w:rsidR="007144FF" w:rsidRPr="00BF6199">
        <w:t>ervices industries. It acts to promote the sector, influence government and drive growth.</w:t>
      </w:r>
    </w:p>
    <w:p w14:paraId="77A8FB8B" w14:textId="774ED428" w:rsidR="00574D4E" w:rsidRDefault="00574D4E" w:rsidP="00574D4E">
      <w:pPr>
        <w:pStyle w:val="Heading2"/>
      </w:pPr>
      <w:bookmarkStart w:id="6" w:name="_Toc18076330"/>
      <w:r>
        <w:t>About the Welsh Ports Group</w:t>
      </w:r>
      <w:bookmarkEnd w:id="6"/>
    </w:p>
    <w:p w14:paraId="262DEF1B" w14:textId="7355A840" w:rsidR="00574D4E" w:rsidRDefault="00574D4E" w:rsidP="00574D4E">
      <w:r w:rsidRPr="00574D4E">
        <w:t xml:space="preserve">The Welsh Ports Group includes all the main cargo handing ports in Wales as well as a wide range of smaller ports focussed on marine leisure, recreation and fishing activity. The Group meets regularly with the Welsh Government </w:t>
      </w:r>
      <w:r>
        <w:t xml:space="preserve">and </w:t>
      </w:r>
      <w:r w:rsidRPr="00574D4E">
        <w:t>considers a wide range of agenda items from transport and economic issues to marine and environmental topics. The current chairman of the Group is ABP’s Port Manager of Cardiff and Barry, Callum Couper</w:t>
      </w:r>
      <w:r w:rsidR="00AA7195">
        <w:t>,</w:t>
      </w:r>
      <w:r w:rsidRPr="00574D4E">
        <w:t xml:space="preserve"> and he helps to drive forward the Group’s agenda and represents the industry at a number of forums and levels.</w:t>
      </w:r>
    </w:p>
    <w:p w14:paraId="51164E28" w14:textId="29EE9AE5" w:rsidR="00587C33" w:rsidRDefault="00587C33" w:rsidP="00587C33">
      <w:pPr>
        <w:pStyle w:val="Heading2"/>
      </w:pPr>
      <w:bookmarkStart w:id="7" w:name="_Toc18076331"/>
      <w:r>
        <w:t xml:space="preserve">Background on the facilitating role of the </w:t>
      </w:r>
      <w:r w:rsidR="00654BBE">
        <w:t>Maritime Sector</w:t>
      </w:r>
      <w:r>
        <w:t xml:space="preserve"> in Wales</w:t>
      </w:r>
      <w:bookmarkEnd w:id="7"/>
    </w:p>
    <w:p w14:paraId="6E020B75" w14:textId="369B8F08" w:rsidR="00587C33" w:rsidRDefault="00587C33" w:rsidP="00587C33">
      <w:r w:rsidRPr="00587C33">
        <w:t xml:space="preserve">Some qualitative examples serve to provide background on </w:t>
      </w:r>
      <w:r w:rsidR="00071DC7">
        <w:t xml:space="preserve">the importance of the </w:t>
      </w:r>
      <w:r w:rsidR="00654BBE">
        <w:t>Maritime Sector</w:t>
      </w:r>
      <w:r w:rsidRPr="00587C33">
        <w:t xml:space="preserve"> to Wales, and in turn the UK economy.</w:t>
      </w:r>
    </w:p>
    <w:p w14:paraId="3ECFF9DA" w14:textId="108F9EBC" w:rsidR="00587C33" w:rsidRDefault="00250678" w:rsidP="00587C33">
      <w:pPr>
        <w:pStyle w:val="ListBullet"/>
      </w:pPr>
      <w:r>
        <w:rPr>
          <w:i/>
        </w:rPr>
        <w:t xml:space="preserve">Ports and </w:t>
      </w:r>
      <w:r w:rsidR="00587C33" w:rsidRPr="00587C33">
        <w:rPr>
          <w:i/>
        </w:rPr>
        <w:t>Steel.</w:t>
      </w:r>
      <w:r w:rsidR="00071DC7">
        <w:t xml:space="preserve"> The ports industry</w:t>
      </w:r>
      <w:r w:rsidR="00587C33" w:rsidRPr="00587C33">
        <w:t xml:space="preserve"> in Wales is of paramount importance to the UK steel sector. Port Talbot is the largest integrated steelworks in the UK, and its continued operations</w:t>
      </w:r>
      <w:r>
        <w:t xml:space="preserve"> are</w:t>
      </w:r>
      <w:r w:rsidR="00587C33" w:rsidRPr="00587C33">
        <w:t xml:space="preserve"> dependent on the ability to bring in raw materials from Brazil and Australia, and to ship the high-quality output around the world. Without access to efficient ports, the UK steel sector would be unlikely to compete economically against continental and global steel companies.</w:t>
      </w:r>
    </w:p>
    <w:p w14:paraId="6038DE63" w14:textId="6909F4E4" w:rsidR="00587C33" w:rsidRDefault="00587C33" w:rsidP="00587C33">
      <w:pPr>
        <w:pStyle w:val="ListBullet"/>
      </w:pPr>
      <w:r w:rsidRPr="00587C33">
        <w:rPr>
          <w:i/>
        </w:rPr>
        <w:t>Mari</w:t>
      </w:r>
      <w:r w:rsidR="00071DC7">
        <w:rPr>
          <w:i/>
        </w:rPr>
        <w:t xml:space="preserve">ne renewable energy production. </w:t>
      </w:r>
      <w:r w:rsidRPr="00587C33">
        <w:t xml:space="preserve">There is significant potential for marine renewable energy production in Wales.  For example, there is evidence of substantial economic benefits that would arise </w:t>
      </w:r>
      <w:r w:rsidR="00D85101">
        <w:t xml:space="preserve">from </w:t>
      </w:r>
      <w:r w:rsidRPr="00587C33">
        <w:t>a concentration of tidal lagoon power in Wales</w:t>
      </w:r>
      <w:r w:rsidRPr="00587C33">
        <w:rPr>
          <w:vertAlign w:val="superscript"/>
        </w:rPr>
        <w:footnoteReference w:id="1"/>
      </w:r>
      <w:r>
        <w:t xml:space="preserve"> (with projects at Colywn Bay; Newport; Cardiff and Swansea Bay).</w:t>
      </w:r>
    </w:p>
    <w:p w14:paraId="5B9A2078" w14:textId="6B669ABA" w:rsidR="00587C33" w:rsidRPr="00587C33" w:rsidRDefault="00250678" w:rsidP="00587C33">
      <w:pPr>
        <w:pStyle w:val="ListBullet"/>
      </w:pPr>
      <w:r>
        <w:rPr>
          <w:i/>
        </w:rPr>
        <w:t xml:space="preserve">Maritime and </w:t>
      </w:r>
      <w:r w:rsidR="00587C33">
        <w:rPr>
          <w:i/>
        </w:rPr>
        <w:t>Tourism.</w:t>
      </w:r>
      <w:r w:rsidR="00587C33">
        <w:t xml:space="preserve"> The Welsh coastline naturally lends itself to </w:t>
      </w:r>
      <w:r>
        <w:t>a range</w:t>
      </w:r>
      <w:r w:rsidR="0020507F">
        <w:t xml:space="preserve"> of</w:t>
      </w:r>
      <w:r>
        <w:t xml:space="preserve"> </w:t>
      </w:r>
      <w:r w:rsidR="00587C33">
        <w:t xml:space="preserve">tourism </w:t>
      </w:r>
      <w:r w:rsidR="00071DC7">
        <w:t xml:space="preserve">activities within the </w:t>
      </w:r>
      <w:r w:rsidR="00654BBE">
        <w:t>Maritime Sector</w:t>
      </w:r>
      <w:r w:rsidR="00587C33">
        <w:t>; fo</w:t>
      </w:r>
      <w:r w:rsidR="00B1455E">
        <w:t>r example in the form of sailing.</w:t>
      </w:r>
    </w:p>
    <w:p w14:paraId="58BC8DCD" w14:textId="77777777" w:rsidR="00E237C2" w:rsidRDefault="00E237C2" w:rsidP="00E237C2">
      <w:pPr>
        <w:pStyle w:val="Heading2"/>
      </w:pPr>
      <w:bookmarkStart w:id="8" w:name="_Toc18076332"/>
      <w:r>
        <w:lastRenderedPageBreak/>
        <w:t>Purpose of this report</w:t>
      </w:r>
      <w:bookmarkEnd w:id="5"/>
      <w:bookmarkEnd w:id="8"/>
    </w:p>
    <w:p w14:paraId="5498D115" w14:textId="75AB806A" w:rsidR="00E237C2" w:rsidRDefault="00E237C2" w:rsidP="00E237C2">
      <w:r>
        <w:t xml:space="preserve">This report provides an in-depth assessment of the economic </w:t>
      </w:r>
      <w:r w:rsidR="00071DC7">
        <w:t xml:space="preserve">contribution that the </w:t>
      </w:r>
      <w:r w:rsidR="00654BBE">
        <w:t>Maritime Sector</w:t>
      </w:r>
      <w:r w:rsidR="00AA7195">
        <w:t>,</w:t>
      </w:r>
      <w:r>
        <w:t xml:space="preserve"> </w:t>
      </w:r>
      <w:r w:rsidR="00071DC7">
        <w:t>including p</w:t>
      </w:r>
      <w:r w:rsidR="00574D4E">
        <w:t>orts</w:t>
      </w:r>
      <w:r w:rsidR="00AA7195">
        <w:t>,</w:t>
      </w:r>
      <w:r w:rsidR="00574D4E">
        <w:t xml:space="preserve"> </w:t>
      </w:r>
      <w:r>
        <w:t>makes to the Welsh economy. As such, our analysis combines Cebr’s estimates for the economi</w:t>
      </w:r>
      <w:r w:rsidR="00071DC7">
        <w:t xml:space="preserve">c contribution of the </w:t>
      </w:r>
      <w:r w:rsidR="00654BBE">
        <w:t>Maritime Sector</w:t>
      </w:r>
      <w:r>
        <w:t xml:space="preserve"> at UK-level with regional analysis and insights in order to produce estimates for </w:t>
      </w:r>
      <w:r w:rsidR="001C73C3">
        <w:t>Wales</w:t>
      </w:r>
      <w:r>
        <w:t xml:space="preserve">. </w:t>
      </w:r>
      <w:r w:rsidR="001C73C3">
        <w:t>Wales</w:t>
      </w:r>
      <w:r w:rsidR="000B1F8A">
        <w:t xml:space="preserve"> is an important </w:t>
      </w:r>
      <w:r w:rsidR="00071DC7">
        <w:t xml:space="preserve">region for the UK </w:t>
      </w:r>
      <w:r w:rsidR="00654BBE">
        <w:t>Maritime Sector</w:t>
      </w:r>
      <w:r>
        <w:t>, hosting a number of both major and minor ports</w:t>
      </w:r>
      <w:r w:rsidR="000B1F8A">
        <w:t>.</w:t>
      </w:r>
      <w:r>
        <w:t xml:space="preserve"> </w:t>
      </w:r>
    </w:p>
    <w:p w14:paraId="0599E3C8" w14:textId="3C6893BF" w:rsidR="00E237C2" w:rsidRDefault="00E237C2" w:rsidP="00E237C2">
      <w:r>
        <w:t>This study seeks to equip Maritime UK with statistics and figure</w:t>
      </w:r>
      <w:r w:rsidR="00071DC7">
        <w:t xml:space="preserve">s on the value of the </w:t>
      </w:r>
      <w:r w:rsidR="00654BBE">
        <w:t>Maritime Sector</w:t>
      </w:r>
      <w:r>
        <w:t xml:space="preserve"> to the </w:t>
      </w:r>
      <w:r w:rsidR="001C73C3">
        <w:t>Welsh</w:t>
      </w:r>
      <w:r>
        <w:t xml:space="preserve"> economy. As such, Cebr has focused on the following key economic indicators: </w:t>
      </w:r>
      <w:r w:rsidR="007C40F7">
        <w:t>turnover, employment, Gross Value Added (GVA),</w:t>
      </w:r>
      <w:r>
        <w:t xml:space="preserve"> the compensation of employees and the Exchequer contribution (through tax revenues raised).</w:t>
      </w:r>
    </w:p>
    <w:p w14:paraId="419985FA" w14:textId="77777777" w:rsidR="001C73C3" w:rsidRDefault="001C73C3" w:rsidP="001C73C3">
      <w:pPr>
        <w:pStyle w:val="Heading2"/>
      </w:pPr>
      <w:bookmarkStart w:id="9" w:name="_Toc488396645"/>
      <w:bookmarkStart w:id="10" w:name="_Toc18076333"/>
      <w:r>
        <w:t>Overview of the study and methodology</w:t>
      </w:r>
      <w:bookmarkEnd w:id="9"/>
      <w:bookmarkEnd w:id="10"/>
    </w:p>
    <w:p w14:paraId="39B5A88E" w14:textId="77777777" w:rsidR="001C73C3" w:rsidRPr="00A63933" w:rsidRDefault="001C73C3" w:rsidP="001C73C3">
      <w:pPr>
        <w:spacing w:after="120"/>
        <w:rPr>
          <w:b/>
        </w:rPr>
      </w:pPr>
      <w:r>
        <w:rPr>
          <w:b/>
        </w:rPr>
        <w:t>Purpose of the study</w:t>
      </w:r>
    </w:p>
    <w:p w14:paraId="0910162C" w14:textId="38B70A6B" w:rsidR="001C73C3" w:rsidRDefault="001C73C3" w:rsidP="001C73C3">
      <w:r>
        <w:t>This report provides</w:t>
      </w:r>
      <w:r w:rsidRPr="00395486">
        <w:t xml:space="preserve"> </w:t>
      </w:r>
      <w:r>
        <w:t>a thorough and comprehensive examinati</w:t>
      </w:r>
      <w:r w:rsidR="00071DC7">
        <w:t xml:space="preserve">on of the role of the </w:t>
      </w:r>
      <w:r w:rsidR="00654BBE">
        <w:t>Maritime Sector</w:t>
      </w:r>
      <w:r>
        <w:t xml:space="preserve"> in Wales. It presents a range of analyses demonstrating different aspects of the val</w:t>
      </w:r>
      <w:r w:rsidR="00071DC7">
        <w:t xml:space="preserve">ue contributed by the </w:t>
      </w:r>
      <w:r w:rsidR="00654BBE">
        <w:t>Maritime Sector</w:t>
      </w:r>
      <w:r>
        <w:t>, including direct contributions to GDP and employment, indirect and induced multi</w:t>
      </w:r>
      <w:r w:rsidR="00071DC7">
        <w:t xml:space="preserve">plier impacts and the </w:t>
      </w:r>
      <w:r w:rsidR="00654BBE">
        <w:t>Maritime Sector</w:t>
      </w:r>
      <w:r>
        <w:t xml:space="preserve">’s contribution to the Exchequer through tax revenues raised. </w:t>
      </w:r>
    </w:p>
    <w:p w14:paraId="14EC2022" w14:textId="0CE05C65" w:rsidR="001C73C3" w:rsidRDefault="001C73C3" w:rsidP="001C73C3">
      <w:pPr>
        <w:spacing w:after="0"/>
      </w:pPr>
      <w:r>
        <w:t>An important task has been to develop an in-depth</w:t>
      </w:r>
      <w:r w:rsidR="00071DC7">
        <w:t xml:space="preserve"> understanding of the </w:t>
      </w:r>
      <w:r w:rsidR="00654BBE">
        <w:t>Maritime Sector</w:t>
      </w:r>
      <w:r>
        <w:t xml:space="preserve"> both in the UK and in Wales. </w:t>
      </w:r>
      <w:r w:rsidRPr="00353C19">
        <w:t xml:space="preserve">To produce a robust study, it is necessary to interrogate the </w:t>
      </w:r>
      <w:r>
        <w:t xml:space="preserve">available </w:t>
      </w:r>
      <w:r w:rsidRPr="00353C19">
        <w:t xml:space="preserve">data to ensure that it captures the full range of activities that should be included in establishing the total economic ‘footprint’ </w:t>
      </w:r>
      <w:r w:rsidR="00884B29">
        <w:t xml:space="preserve">of the </w:t>
      </w:r>
      <w:r w:rsidR="00654BBE">
        <w:t>Maritime Sector</w:t>
      </w:r>
      <w:r>
        <w:t xml:space="preserve"> in Wales</w:t>
      </w:r>
      <w:r w:rsidRPr="00353C19">
        <w:t>.</w:t>
      </w:r>
      <w:r>
        <w:t xml:space="preserve"> Following the collation of</w:t>
      </w:r>
      <w:r w:rsidRPr="00353C19">
        <w:t xml:space="preserve"> the necessary data </w:t>
      </w:r>
      <w:r>
        <w:t>capturing these activities</w:t>
      </w:r>
      <w:r w:rsidRPr="00353C19">
        <w:t xml:space="preserve">, the values of key economic indicators were established to demonstrate the impact of </w:t>
      </w:r>
      <w:r w:rsidR="00884B29">
        <w:t xml:space="preserve">the </w:t>
      </w:r>
      <w:r w:rsidR="00654BBE">
        <w:t>Maritime Sector</w:t>
      </w:r>
      <w:r w:rsidRPr="00353C19">
        <w:t xml:space="preserve"> </w:t>
      </w:r>
      <w:r>
        <w:t>in Wales</w:t>
      </w:r>
      <w:r w:rsidRPr="00353C19">
        <w:t xml:space="preserve">. The key </w:t>
      </w:r>
      <w:r>
        <w:t xml:space="preserve">macroeconomic </w:t>
      </w:r>
      <w:r w:rsidRPr="00353C19">
        <w:t>indicators include:</w:t>
      </w:r>
    </w:p>
    <w:p w14:paraId="3CE286D0" w14:textId="77777777" w:rsidR="001C73C3" w:rsidRPr="001C73C3" w:rsidRDefault="001C73C3" w:rsidP="001C73C3">
      <w:pPr>
        <w:spacing w:after="0"/>
      </w:pPr>
    </w:p>
    <w:p w14:paraId="68510D67" w14:textId="7A2D9B9C" w:rsidR="00884B29" w:rsidRPr="00884B29" w:rsidRDefault="00884B29" w:rsidP="00884B29">
      <w:pPr>
        <w:pStyle w:val="ListBullet"/>
        <w:numPr>
          <w:ilvl w:val="0"/>
          <w:numId w:val="31"/>
        </w:numPr>
        <w:spacing w:after="120"/>
        <w:ind w:left="360"/>
        <w:rPr>
          <w:rFonts w:ascii="Calibri" w:eastAsia="Microsoft JhengHei" w:hAnsi="Calibri"/>
        </w:rPr>
      </w:pPr>
      <w:r>
        <w:rPr>
          <w:rFonts w:ascii="Calibri" w:eastAsia="Microsoft JhengHei" w:hAnsi="Calibri"/>
        </w:rPr>
        <w:t xml:space="preserve">The value of the turnover of the Welsh </w:t>
      </w:r>
      <w:r w:rsidR="00654BBE">
        <w:rPr>
          <w:rFonts w:ascii="Calibri" w:eastAsia="Microsoft JhengHei" w:hAnsi="Calibri"/>
        </w:rPr>
        <w:t>Maritime Sector</w:t>
      </w:r>
      <w:r>
        <w:rPr>
          <w:rFonts w:ascii="Calibri" w:eastAsia="Microsoft JhengHei" w:hAnsi="Calibri"/>
        </w:rPr>
        <w:t xml:space="preserve">, and the turnover supported in the UK economy through multiplier impacts. </w:t>
      </w:r>
    </w:p>
    <w:p w14:paraId="17458E6D" w14:textId="198A313A" w:rsidR="001C73C3"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GVA</w:t>
      </w:r>
      <w:r w:rsidRPr="008314E4">
        <w:rPr>
          <w:vertAlign w:val="superscript"/>
        </w:rPr>
        <w:footnoteReference w:id="2"/>
      </w:r>
      <w:r w:rsidRPr="000043CD">
        <w:t xml:space="preserve"> </w:t>
      </w:r>
      <w:r w:rsidRPr="000043CD">
        <w:rPr>
          <w:rFonts w:ascii="Calibri" w:eastAsia="Microsoft JhengHei" w:hAnsi="Calibri"/>
        </w:rPr>
        <w:t xml:space="preserve">contributions to </w:t>
      </w:r>
      <w:r>
        <w:rPr>
          <w:rFonts w:ascii="Calibri" w:eastAsia="Microsoft JhengHei" w:hAnsi="Calibri"/>
        </w:rPr>
        <w:t>Welsh and</w:t>
      </w:r>
      <w:r w:rsidRPr="000043CD">
        <w:rPr>
          <w:rFonts w:ascii="Calibri" w:eastAsia="Microsoft JhengHei" w:hAnsi="Calibri"/>
        </w:rPr>
        <w:t xml:space="preserve"> UK GDP generated by the </w:t>
      </w:r>
      <w:r w:rsidR="00654BBE">
        <w:rPr>
          <w:rFonts w:ascii="Calibri" w:eastAsia="Microsoft JhengHei" w:hAnsi="Calibri"/>
        </w:rPr>
        <w:t>Maritime Sector</w:t>
      </w:r>
      <w:r>
        <w:rPr>
          <w:rFonts w:ascii="Calibri" w:eastAsia="Microsoft JhengHei" w:hAnsi="Calibri"/>
        </w:rPr>
        <w:t xml:space="preserve"> in Wales</w:t>
      </w:r>
      <w:r w:rsidRPr="000043CD">
        <w:rPr>
          <w:rFonts w:ascii="Calibri" w:eastAsia="Microsoft JhengHei" w:hAnsi="Calibri"/>
        </w:rPr>
        <w:t xml:space="preserve">, directly and through indirect and induced multiplier impacts. </w:t>
      </w:r>
    </w:p>
    <w:p w14:paraId="62759ACD" w14:textId="460A0461" w:rsidR="001C73C3" w:rsidRPr="00077F62" w:rsidRDefault="001C73C3" w:rsidP="001C73C3">
      <w:pPr>
        <w:pStyle w:val="ListBullet"/>
        <w:numPr>
          <w:ilvl w:val="0"/>
          <w:numId w:val="31"/>
        </w:numPr>
        <w:spacing w:after="120"/>
        <w:ind w:left="360"/>
        <w:rPr>
          <w:rFonts w:ascii="Calibri" w:eastAsia="Microsoft JhengHei" w:hAnsi="Calibri"/>
        </w:rPr>
      </w:pPr>
      <w:r w:rsidRPr="000043CD">
        <w:rPr>
          <w:rFonts w:ascii="Calibri" w:eastAsia="Microsoft JhengHei" w:hAnsi="Calibri"/>
        </w:rPr>
        <w:t xml:space="preserve">Jobs supported by the </w:t>
      </w:r>
      <w:r>
        <w:rPr>
          <w:rFonts w:ascii="Calibri" w:eastAsia="Microsoft JhengHei" w:hAnsi="Calibri"/>
        </w:rPr>
        <w:t xml:space="preserve">Welsh </w:t>
      </w:r>
      <w:r w:rsidR="00654BBE">
        <w:rPr>
          <w:rFonts w:ascii="Calibri" w:eastAsia="Microsoft JhengHei" w:hAnsi="Calibri"/>
        </w:rPr>
        <w:t>Maritime Sector</w:t>
      </w:r>
      <w:r w:rsidRPr="000043CD">
        <w:rPr>
          <w:rFonts w:ascii="Calibri" w:eastAsia="Microsoft JhengHei" w:hAnsi="Calibri"/>
        </w:rPr>
        <w:t xml:space="preserve">, including direct, indirect and induced jobs through </w:t>
      </w:r>
      <w:r>
        <w:rPr>
          <w:rFonts w:ascii="Calibri" w:eastAsia="Microsoft JhengHei" w:hAnsi="Calibri"/>
        </w:rPr>
        <w:t xml:space="preserve">regional </w:t>
      </w:r>
      <w:r w:rsidRPr="000043CD">
        <w:rPr>
          <w:rFonts w:ascii="Calibri" w:eastAsia="Microsoft JhengHei" w:hAnsi="Calibri"/>
        </w:rPr>
        <w:t>multiplier impacts.</w:t>
      </w:r>
    </w:p>
    <w:p w14:paraId="54C0A072" w14:textId="629756AB" w:rsidR="001C73C3" w:rsidRPr="000043CD" w:rsidRDefault="001C73C3" w:rsidP="001C73C3">
      <w:pPr>
        <w:pStyle w:val="ListBullet"/>
        <w:numPr>
          <w:ilvl w:val="0"/>
          <w:numId w:val="31"/>
        </w:numPr>
        <w:spacing w:after="120"/>
        <w:ind w:left="360"/>
        <w:rPr>
          <w:rFonts w:ascii="Calibri" w:eastAsia="Microsoft JhengHei" w:hAnsi="Calibri"/>
        </w:rPr>
      </w:pPr>
      <w:r>
        <w:t>The value of employee compensation</w:t>
      </w:r>
      <w:r w:rsidRPr="00B36121">
        <w:rPr>
          <w:vertAlign w:val="superscript"/>
        </w:rPr>
        <w:footnoteReference w:id="3"/>
      </w:r>
      <w:r w:rsidRPr="00B36121">
        <w:rPr>
          <w:vertAlign w:val="superscript"/>
        </w:rPr>
        <w:t xml:space="preserve"> </w:t>
      </w:r>
      <w:r>
        <w:t xml:space="preserve">generated by the Welsh </w:t>
      </w:r>
      <w:r w:rsidR="00654BBE">
        <w:t>Maritime Sector</w:t>
      </w:r>
      <w:r>
        <w:t xml:space="preserve">, representing the total remuneration of employees. </w:t>
      </w:r>
    </w:p>
    <w:p w14:paraId="7CD82235" w14:textId="00A50E2A" w:rsidR="001C73C3" w:rsidRPr="00077F62" w:rsidRDefault="001C73C3" w:rsidP="001C73C3">
      <w:pPr>
        <w:pStyle w:val="ListBullet"/>
        <w:numPr>
          <w:ilvl w:val="0"/>
          <w:numId w:val="31"/>
        </w:numPr>
        <w:spacing w:after="120"/>
        <w:ind w:left="360"/>
        <w:rPr>
          <w:rFonts w:ascii="Calibri" w:eastAsia="Microsoft JhengHei" w:hAnsi="Calibri"/>
        </w:rPr>
      </w:pPr>
      <w:r>
        <w:t xml:space="preserve">The Exchequer contribution of the Welsh </w:t>
      </w:r>
      <w:r w:rsidR="00654BBE">
        <w:t>Maritime Sector</w:t>
      </w:r>
      <w:r>
        <w:t xml:space="preserve"> through tax revenues raised.</w:t>
      </w:r>
    </w:p>
    <w:p w14:paraId="0AA54192" w14:textId="1324114A" w:rsidR="001C73C3" w:rsidRPr="000043CD" w:rsidRDefault="001C73C3" w:rsidP="001C73C3">
      <w:pPr>
        <w:pStyle w:val="ListBullet"/>
        <w:numPr>
          <w:ilvl w:val="0"/>
          <w:numId w:val="31"/>
        </w:numPr>
        <w:ind w:left="360"/>
        <w:rPr>
          <w:rFonts w:ascii="Calibri" w:eastAsia="Microsoft JhengHei" w:hAnsi="Calibri"/>
        </w:rPr>
      </w:pPr>
      <w:r>
        <w:rPr>
          <w:rFonts w:ascii="Calibri" w:eastAsia="Microsoft JhengHei" w:hAnsi="Calibri"/>
        </w:rPr>
        <w:lastRenderedPageBreak/>
        <w:t>The direct con</w:t>
      </w:r>
      <w:r w:rsidR="00884B29">
        <w:rPr>
          <w:rFonts w:ascii="Calibri" w:eastAsia="Microsoft JhengHei" w:hAnsi="Calibri"/>
        </w:rPr>
        <w:t xml:space="preserve">tribution made by the </w:t>
      </w:r>
      <w:r w:rsidR="00654BBE">
        <w:rPr>
          <w:rFonts w:ascii="Calibri" w:eastAsia="Microsoft JhengHei" w:hAnsi="Calibri"/>
        </w:rPr>
        <w:t>Maritime Sector</w:t>
      </w:r>
      <w:r>
        <w:rPr>
          <w:rFonts w:ascii="Calibri" w:eastAsia="Microsoft JhengHei" w:hAnsi="Calibri"/>
        </w:rPr>
        <w:t xml:space="preserve"> through Welsh exports of goods and services.</w:t>
      </w:r>
    </w:p>
    <w:p w14:paraId="00D12A53" w14:textId="5411B9A4" w:rsidR="001C73C3" w:rsidRPr="00B137F4" w:rsidRDefault="001C73C3" w:rsidP="001C73C3">
      <w:pPr>
        <w:spacing w:after="120"/>
        <w:rPr>
          <w:b/>
        </w:rPr>
      </w:pPr>
      <w:r>
        <w:rPr>
          <w:b/>
        </w:rPr>
        <w:t xml:space="preserve">Mapping the UK </w:t>
      </w:r>
      <w:r w:rsidR="00654BBE">
        <w:rPr>
          <w:b/>
        </w:rPr>
        <w:t>Maritime Sector</w:t>
      </w:r>
      <w:r>
        <w:rPr>
          <w:b/>
        </w:rPr>
        <w:t xml:space="preserve"> in the UK and Wales</w:t>
      </w:r>
    </w:p>
    <w:p w14:paraId="7351730A" w14:textId="0ABD0499" w:rsidR="001C73C3" w:rsidRDefault="001C73C3" w:rsidP="001C73C3">
      <w:r>
        <w:t xml:space="preserve">The first stage of the study has involved mapping </w:t>
      </w:r>
      <w:r w:rsidR="00884B29">
        <w:t xml:space="preserve">the activities of the </w:t>
      </w:r>
      <w:r w:rsidR="00654BBE">
        <w:t>Maritime Sector</w:t>
      </w:r>
      <w:r>
        <w:t xml:space="preserve"> against the national accounts framework, in order </w:t>
      </w:r>
      <w:r w:rsidRPr="00245DD9">
        <w:t>to establish clarity on</w:t>
      </w:r>
      <w:r>
        <w:t xml:space="preserve"> the precise definition of the </w:t>
      </w:r>
      <w:r w:rsidR="00654BBE">
        <w:t>Maritime Sector</w:t>
      </w:r>
      <w:r w:rsidRPr="00245DD9">
        <w:t xml:space="preserve"> as </w:t>
      </w:r>
      <w:r>
        <w:t>it</w:t>
      </w:r>
      <w:r w:rsidRPr="00245DD9">
        <w:t xml:space="preserve"> map</w:t>
      </w:r>
      <w:r>
        <w:t>s</w:t>
      </w:r>
      <w:r w:rsidRPr="00245DD9">
        <w:t xml:space="preserve"> against the Standard Industrial Classification (SIC) framework.</w:t>
      </w:r>
      <w:r w:rsidRPr="00B137F4">
        <w:rPr>
          <w:vertAlign w:val="superscript"/>
        </w:rPr>
        <w:footnoteReference w:id="4"/>
      </w:r>
      <w:r>
        <w:t xml:space="preserve"> For most activities, particularly those of the Shipping industry, economic activity can be captured through a particular 3, 4 or 5-digit SIC code. </w:t>
      </w:r>
    </w:p>
    <w:p w14:paraId="16B72C04" w14:textId="36D57709" w:rsidR="001C73C3" w:rsidRDefault="001C73C3" w:rsidP="001C73C3">
      <w:r>
        <w:t xml:space="preserve">In essence therefore, this involves taking each of the </w:t>
      </w:r>
      <w:r w:rsidR="00884B29">
        <w:t>five</w:t>
      </w:r>
      <w:r>
        <w:t xml:space="preserve"> Maritime industries and their constituent activities, and mapping these to the most relevant Standard Industrial Classification (SIC) code in order to identify the activity’s economic data. For example, “</w:t>
      </w:r>
      <w:r w:rsidRPr="00C202C1">
        <w:t>Transpor</w:t>
      </w:r>
      <w:r>
        <w:t xml:space="preserve">t of Passengers and International </w:t>
      </w:r>
      <w:r w:rsidRPr="00C202C1">
        <w:t>Sea Faring</w:t>
      </w:r>
      <w:r>
        <w:t>”, id</w:t>
      </w:r>
      <w:r w:rsidR="00884B29">
        <w:t>entified as an activity of the s</w:t>
      </w:r>
      <w:r>
        <w:t>hipping industry, can be identified through SIC code 50100 within the National Accounts fra</w:t>
      </w:r>
      <w:r w:rsidR="00884B29">
        <w:t xml:space="preserve">mework. However, some </w:t>
      </w:r>
      <w:r w:rsidR="00654BBE">
        <w:t>Maritime Sector</w:t>
      </w:r>
      <w:r>
        <w:t xml:space="preserve"> activities do not </w:t>
      </w:r>
      <w:r w:rsidRPr="005647A6">
        <w:t>activities do not ma</w:t>
      </w:r>
      <w:r>
        <w:t>p neatly onto the SIC framework; this has required Cebr to draw upon government or industry sources to quantify the contributions made through these activities.</w:t>
      </w:r>
    </w:p>
    <w:p w14:paraId="51E5FF67" w14:textId="6D641142" w:rsidR="00AA7195" w:rsidRDefault="00AA7195" w:rsidP="001C73C3">
      <w:r>
        <w:fldChar w:fldCharType="begin"/>
      </w:r>
      <w:r>
        <w:instrText xml:space="preserve"> REF _Ref496876765 \h </w:instrText>
      </w:r>
      <w:r>
        <w:fldChar w:fldCharType="separate"/>
      </w:r>
      <w:r w:rsidR="00963862">
        <w:t xml:space="preserve">Figure </w:t>
      </w:r>
      <w:r w:rsidR="00963862">
        <w:rPr>
          <w:noProof/>
        </w:rPr>
        <w:t>1</w:t>
      </w:r>
      <w:r>
        <w:fldChar w:fldCharType="end"/>
      </w:r>
      <w:r>
        <w:t xml:space="preserve"> graphically illustrates key locations of Maritime activity in Wales. </w:t>
      </w:r>
    </w:p>
    <w:p w14:paraId="21294281" w14:textId="2BF6CFA9" w:rsidR="00750F57" w:rsidRDefault="00750F57" w:rsidP="00750F57">
      <w:pPr>
        <w:pStyle w:val="Caption"/>
        <w:keepNext/>
      </w:pPr>
      <w:bookmarkStart w:id="11" w:name="_Ref496876765"/>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w:t>
      </w:r>
      <w:r w:rsidR="00A420C1">
        <w:rPr>
          <w:noProof/>
        </w:rPr>
        <w:fldChar w:fldCharType="end"/>
      </w:r>
      <w:bookmarkEnd w:id="11"/>
      <w:r>
        <w:t>: Ports in Wales</w:t>
      </w:r>
    </w:p>
    <w:p w14:paraId="44F5258E" w14:textId="18784F90" w:rsidR="00F04D4A" w:rsidRDefault="009F5925" w:rsidP="001C73C3">
      <w:r>
        <w:rPr>
          <w:noProof/>
          <w:lang w:eastAsia="en-GB"/>
        </w:rPr>
        <w:drawing>
          <wp:inline distT="0" distB="0" distL="0" distR="0" wp14:anchorId="5A90FAA3" wp14:editId="644555E8">
            <wp:extent cx="5976620" cy="2924355"/>
            <wp:effectExtent l="0" t="0" r="508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alesPorts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81785" cy="2926882"/>
                    </a:xfrm>
                    <a:prstGeom prst="rect">
                      <a:avLst/>
                    </a:prstGeom>
                  </pic:spPr>
                </pic:pic>
              </a:graphicData>
            </a:graphic>
          </wp:inline>
        </w:drawing>
      </w:r>
    </w:p>
    <w:p w14:paraId="0945E739" w14:textId="77777777" w:rsidR="001C73C3" w:rsidRPr="000A2222" w:rsidRDefault="001C73C3" w:rsidP="001C73C3">
      <w:pPr>
        <w:spacing w:after="120"/>
        <w:rPr>
          <w:b/>
        </w:rPr>
      </w:pPr>
      <w:r w:rsidRPr="000A2222">
        <w:rPr>
          <w:b/>
        </w:rPr>
        <w:t>Data Sources</w:t>
      </w:r>
    </w:p>
    <w:p w14:paraId="59C42D14" w14:textId="63588985" w:rsidR="001C73C3" w:rsidRDefault="001C73C3" w:rsidP="001C73C3">
      <w:r>
        <w:t>After comp</w:t>
      </w:r>
      <w:r w:rsidR="00884B29">
        <w:t xml:space="preserve">leting the mapping of </w:t>
      </w:r>
      <w:r w:rsidR="00654BBE">
        <w:t>Maritime Sector</w:t>
      </w:r>
      <w:r>
        <w:t xml:space="preserve"> activities, data for the macroeconomic indicators listed above have been obtained and collated by firstly interrogating the indicators gathered at UK level for the </w:t>
      </w:r>
      <w:r w:rsidR="00654BBE">
        <w:t>Maritime Sector</w:t>
      </w:r>
      <w:r>
        <w:t xml:space="preserve">, and disaggregating this at Welsh-level using a combination of publicly-available data sources, industry sources and local estimates. </w:t>
      </w:r>
    </w:p>
    <w:p w14:paraId="56023B05" w14:textId="0A5D0275" w:rsidR="001C73C3" w:rsidRDefault="001C73C3" w:rsidP="001C73C3">
      <w:pPr>
        <w:spacing w:after="0"/>
      </w:pPr>
      <w:r>
        <w:t xml:space="preserve">For those </w:t>
      </w:r>
      <w:r w:rsidR="00654BBE">
        <w:t>Maritime Sector</w:t>
      </w:r>
      <w:r>
        <w:t xml:space="preserve"> activities which are in alignment with the SIC framework and are available on a disaggregated basis, the main source of information used in this study is Bureau van Dijk’s Financial </w:t>
      </w:r>
      <w:r>
        <w:lastRenderedPageBreak/>
        <w:t>Accounts Made Easy (</w:t>
      </w:r>
      <w:r w:rsidRPr="00440F72">
        <w:rPr>
          <w:i/>
        </w:rPr>
        <w:t>FAME</w:t>
      </w:r>
      <w:r>
        <w:t xml:space="preserve">) database. </w:t>
      </w:r>
      <w:r w:rsidRPr="00440F72">
        <w:rPr>
          <w:i/>
        </w:rPr>
        <w:t>FAME</w:t>
      </w:r>
      <w:r>
        <w:t xml:space="preserve"> provides detailed information on UK and Irish companies as taken from annual reports and other sources up to the latest available year. FAME has been used to</w:t>
      </w:r>
      <w:r w:rsidRPr="0010557C">
        <w:t xml:space="preserve"> establish the aggregated contribution of </w:t>
      </w:r>
      <w:r>
        <w:t xml:space="preserve">businesses in the </w:t>
      </w:r>
      <w:r w:rsidR="00654BBE">
        <w:t>Maritime Sector</w:t>
      </w:r>
      <w:r>
        <w:t xml:space="preserve"> </w:t>
      </w:r>
      <w:r w:rsidRPr="0010557C">
        <w:t>to the UK economy in terms of turnov</w:t>
      </w:r>
      <w:r>
        <w:t>er, employee numbers and GVA</w:t>
      </w:r>
      <w:r w:rsidRPr="0010557C">
        <w:t xml:space="preserve">. We also evaluate the breakdown of these </w:t>
      </w:r>
      <w:r>
        <w:t xml:space="preserve">business </w:t>
      </w:r>
      <w:r w:rsidRPr="0010557C">
        <w:t xml:space="preserve">contributions by SIC industrial sector, using the </w:t>
      </w:r>
      <w:r>
        <w:t xml:space="preserve">primary and secondary </w:t>
      </w:r>
      <w:r w:rsidRPr="0010557C">
        <w:t>five-digit UK SIC (2007) code</w:t>
      </w:r>
      <w:r>
        <w:t>s</w:t>
      </w:r>
      <w:r w:rsidRPr="0010557C">
        <w:t xml:space="preserve"> </w:t>
      </w:r>
      <w:r>
        <w:t>associated with</w:t>
      </w:r>
      <w:r w:rsidRPr="0010557C">
        <w:t xml:space="preserve"> for each company in </w:t>
      </w:r>
      <w:r w:rsidRPr="00440F72">
        <w:rPr>
          <w:i/>
        </w:rPr>
        <w:t>FAME</w:t>
      </w:r>
      <w:r w:rsidRPr="0010557C">
        <w:t xml:space="preserve">. </w:t>
      </w:r>
    </w:p>
    <w:p w14:paraId="04E8062C" w14:textId="77777777" w:rsidR="004D751F" w:rsidRDefault="004D751F" w:rsidP="001C73C3">
      <w:pPr>
        <w:spacing w:after="0"/>
      </w:pPr>
    </w:p>
    <w:p w14:paraId="2E9F1818" w14:textId="10E8155C" w:rsidR="001C73C3" w:rsidRDefault="001C73C3" w:rsidP="001C73C3">
      <w:r>
        <w:t xml:space="preserve">To capture the </w:t>
      </w:r>
      <w:r w:rsidR="00884B29">
        <w:t xml:space="preserve">contribution of those </w:t>
      </w:r>
      <w:r w:rsidR="00654BBE">
        <w:t>Maritime Sector</w:t>
      </w:r>
      <w:r>
        <w:t xml:space="preserve"> activities which do not map neatly across the SIC framework, and in order to disaggregate the economic contribution of the sector in Wales, a variety of other sources have been used. For the former, the study draws upon insight from sector bodies included (but not limited to) British Marine, the Society of Maritime Industries (SMI), BEIS and the UK Chamber of Shipping. A full list of identified </w:t>
      </w:r>
      <w:r w:rsidR="00654BBE">
        <w:t>Maritime Sector</w:t>
      </w:r>
      <w:r>
        <w:t xml:space="preserve"> activities and sources is set out in Section 2 of the report.</w:t>
      </w:r>
    </w:p>
    <w:p w14:paraId="286C0C10" w14:textId="77777777" w:rsidR="001C73C3" w:rsidRPr="004A631A" w:rsidRDefault="001C73C3" w:rsidP="001C73C3">
      <w:pPr>
        <w:spacing w:after="120"/>
        <w:rPr>
          <w:b/>
        </w:rPr>
      </w:pPr>
      <w:r>
        <w:rPr>
          <w:b/>
        </w:rPr>
        <w:t xml:space="preserve">Quantifying the wider </w:t>
      </w:r>
      <w:r w:rsidRPr="009069BE">
        <w:rPr>
          <w:b/>
        </w:rPr>
        <w:t>economic</w:t>
      </w:r>
      <w:r w:rsidRPr="004A631A">
        <w:rPr>
          <w:b/>
        </w:rPr>
        <w:t xml:space="preserve"> impacts</w:t>
      </w:r>
    </w:p>
    <w:p w14:paraId="54179641" w14:textId="2A4BF99A" w:rsidR="001C73C3" w:rsidRDefault="001C73C3" w:rsidP="001C73C3">
      <w:r>
        <w:t>After collation and interrogation, the resulting Welsh direct economic impacts have then been embedded within</w:t>
      </w:r>
      <w:r w:rsidRPr="006A49B2">
        <w:t xml:space="preserve"> </w:t>
      </w:r>
      <w:r>
        <w:t xml:space="preserve">Cebr’s regional economic impacts </w:t>
      </w:r>
      <w:r w:rsidRPr="006A49B2">
        <w:t xml:space="preserve">models of the UK economy that we use to assess the kinds of impacts that can be associated </w:t>
      </w:r>
      <w:r>
        <w:t xml:space="preserve">with an entity such as the Welsh </w:t>
      </w:r>
      <w:r w:rsidR="00654BBE">
        <w:t>Maritime Sector</w:t>
      </w:r>
      <w:r>
        <w:t xml:space="preserve">. </w:t>
      </w:r>
    </w:p>
    <w:p w14:paraId="27EC30A7" w14:textId="12A1F595" w:rsidR="001C73C3" w:rsidRDefault="001C73C3" w:rsidP="001C73C3">
      <w:r>
        <w:t xml:space="preserve">Cebr’s models establish the relationships between industries through supply chain linkages, as well as industries’ linkages with government, capital investors and the rest of the world (through trade). The models produce three types of impact for four indicators – </w:t>
      </w:r>
      <w:r w:rsidR="00884B29">
        <w:t>turnover</w:t>
      </w:r>
      <w:r>
        <w:t>, GVA, the compensation of employees, and employment. The three types of impact are:</w:t>
      </w:r>
    </w:p>
    <w:p w14:paraId="2B1345DE" w14:textId="5AC5A589" w:rsidR="001C73C3" w:rsidRPr="00AE687E" w:rsidRDefault="001C73C3" w:rsidP="001C73C3">
      <w:pPr>
        <w:pStyle w:val="ListBullet"/>
        <w:numPr>
          <w:ilvl w:val="0"/>
          <w:numId w:val="31"/>
        </w:numPr>
        <w:spacing w:after="120"/>
        <w:ind w:left="360"/>
        <w:rPr>
          <w:rFonts w:ascii="Calibri" w:eastAsia="Microsoft JhengHei" w:hAnsi="Calibri"/>
        </w:rPr>
      </w:pPr>
      <w:r w:rsidRPr="004D751F">
        <w:rPr>
          <w:rFonts w:ascii="Calibri" w:eastAsia="Microsoft JhengHei" w:hAnsi="Calibri"/>
          <w:i/>
        </w:rPr>
        <w:t>D</w:t>
      </w:r>
      <w:r w:rsidRPr="004D751F">
        <w:rPr>
          <w:rFonts w:ascii="Calibri" w:eastAsia="Microsoft JhengHei" w:hAnsi="Calibri" w:hint="eastAsia"/>
          <w:i/>
        </w:rPr>
        <w:t>irect</w:t>
      </w:r>
      <w:r w:rsidRPr="004D751F">
        <w:rPr>
          <w:rFonts w:ascii="Calibri" w:eastAsia="Microsoft JhengHei" w:hAnsi="Calibri"/>
          <w:i/>
        </w:rPr>
        <w:t xml:space="preserve"> impact</w:t>
      </w:r>
      <w:r w:rsidRPr="00AE687E">
        <w:rPr>
          <w:rFonts w:ascii="Calibri" w:eastAsia="Microsoft JhengHei" w:hAnsi="Calibri"/>
        </w:rPr>
        <w:t xml:space="preserve">: </w:t>
      </w:r>
      <w:r>
        <w:rPr>
          <w:rFonts w:ascii="Calibri" w:eastAsia="Microsoft JhengHei" w:hAnsi="Calibri"/>
        </w:rPr>
        <w:t xml:space="preserve">this is </w:t>
      </w:r>
      <w:r w:rsidRPr="00AE687E">
        <w:rPr>
          <w:rFonts w:ascii="Calibri" w:eastAsia="Microsoft JhengHei" w:hAnsi="Calibri" w:hint="eastAsia"/>
        </w:rPr>
        <w:t xml:space="preserve">the </w:t>
      </w:r>
      <w:r w:rsidRPr="00AE687E">
        <w:rPr>
          <w:rFonts w:ascii="Calibri" w:eastAsia="Microsoft JhengHei" w:hAnsi="Calibri"/>
        </w:rPr>
        <w:t xml:space="preserve">value and jobs supported directly by the economic activities of the </w:t>
      </w:r>
      <w:r w:rsidR="00654BBE">
        <w:rPr>
          <w:rFonts w:ascii="Calibri" w:eastAsia="Microsoft JhengHei" w:hAnsi="Calibri"/>
        </w:rPr>
        <w:t>Maritime Sector</w:t>
      </w:r>
      <w:r w:rsidRPr="00AE687E">
        <w:rPr>
          <w:rFonts w:ascii="Calibri" w:eastAsia="Microsoft JhengHei" w:hAnsi="Calibri"/>
        </w:rPr>
        <w:t xml:space="preserve"> in </w:t>
      </w:r>
      <w:r>
        <w:rPr>
          <w:rFonts w:ascii="Calibri" w:eastAsia="Microsoft JhengHei" w:hAnsi="Calibri"/>
        </w:rPr>
        <w:t>Wales</w:t>
      </w:r>
      <w:r w:rsidRPr="00AE687E">
        <w:rPr>
          <w:rFonts w:ascii="Calibri" w:eastAsia="Microsoft JhengHei" w:hAnsi="Calibri"/>
        </w:rPr>
        <w:t>.</w:t>
      </w:r>
    </w:p>
    <w:p w14:paraId="1D6C2F44" w14:textId="34E3A545" w:rsidR="001C73C3" w:rsidRPr="00AE687E" w:rsidRDefault="001C73C3" w:rsidP="001C73C3">
      <w:pPr>
        <w:pStyle w:val="ListBullet"/>
        <w:numPr>
          <w:ilvl w:val="0"/>
          <w:numId w:val="31"/>
        </w:numPr>
        <w:spacing w:after="120"/>
        <w:ind w:left="360"/>
        <w:rPr>
          <w:rFonts w:ascii="Calibri" w:eastAsia="Microsoft JhengHei" w:hAnsi="Calibri"/>
        </w:rPr>
      </w:pPr>
      <w:r w:rsidRPr="004D751F">
        <w:rPr>
          <w:rFonts w:ascii="Calibri" w:eastAsia="Microsoft JhengHei" w:hAnsi="Calibri"/>
          <w:i/>
        </w:rPr>
        <w:t>I</w:t>
      </w:r>
      <w:r w:rsidRPr="004D751F">
        <w:rPr>
          <w:rFonts w:ascii="Calibri" w:eastAsia="Microsoft JhengHei" w:hAnsi="Calibri" w:hint="eastAsia"/>
          <w:i/>
        </w:rPr>
        <w:t>ndirect</w:t>
      </w:r>
      <w:r w:rsidRPr="004D751F">
        <w:rPr>
          <w:rFonts w:ascii="Calibri" w:eastAsia="Microsoft JhengHei" w:hAnsi="Calibri"/>
          <w:i/>
        </w:rPr>
        <w:t xml:space="preserve"> impact</w:t>
      </w:r>
      <w:r w:rsidRPr="00AE687E">
        <w:rPr>
          <w:rFonts w:ascii="Calibri" w:eastAsia="Microsoft JhengHei" w:hAnsi="Calibri"/>
        </w:rPr>
        <w:t>:</w:t>
      </w:r>
      <w:r w:rsidRPr="00AE687E">
        <w:rPr>
          <w:rFonts w:ascii="Calibri" w:eastAsia="Microsoft JhengHei" w:hAnsi="Calibri" w:hint="eastAsia"/>
        </w:rPr>
        <w:t xml:space="preserve"> </w:t>
      </w:r>
      <w:r>
        <w:rPr>
          <w:rFonts w:ascii="Calibri" w:eastAsia="Microsoft JhengHei" w:hAnsi="Calibri"/>
        </w:rPr>
        <w:t xml:space="preserve">this is </w:t>
      </w:r>
      <w:r w:rsidR="00884B29">
        <w:rPr>
          <w:rFonts w:ascii="Calibri" w:eastAsia="Microsoft JhengHei" w:hAnsi="Calibri"/>
        </w:rPr>
        <w:t xml:space="preserve">the value </w:t>
      </w:r>
      <w:r w:rsidRPr="00AE687E">
        <w:rPr>
          <w:rFonts w:ascii="Calibri" w:eastAsia="Microsoft JhengHei" w:hAnsi="Calibri"/>
        </w:rPr>
        <w:t xml:space="preserve">and jobs supported in industries that supply inputs to </w:t>
      </w:r>
      <w:r w:rsidR="00884B29">
        <w:rPr>
          <w:rFonts w:ascii="Calibri" w:eastAsia="Microsoft JhengHei" w:hAnsi="Calibri"/>
        </w:rPr>
        <w:t xml:space="preserve">Wales’s </w:t>
      </w:r>
      <w:r w:rsidR="00654BBE">
        <w:rPr>
          <w:rFonts w:ascii="Calibri" w:eastAsia="Microsoft JhengHei" w:hAnsi="Calibri"/>
        </w:rPr>
        <w:t>Maritime Sector</w:t>
      </w:r>
      <w:r w:rsidRPr="00AE687E">
        <w:rPr>
          <w:rFonts w:ascii="Calibri" w:eastAsia="Microsoft JhengHei" w:hAnsi="Calibri"/>
        </w:rPr>
        <w:t>.</w:t>
      </w:r>
    </w:p>
    <w:p w14:paraId="5A5E0078" w14:textId="12D9FA88" w:rsidR="001C73C3" w:rsidRPr="00AE687E" w:rsidRDefault="001C73C3" w:rsidP="001C73C3">
      <w:pPr>
        <w:pStyle w:val="ListBullet"/>
        <w:numPr>
          <w:ilvl w:val="0"/>
          <w:numId w:val="31"/>
        </w:numPr>
        <w:ind w:left="360"/>
        <w:rPr>
          <w:rFonts w:ascii="Calibri" w:eastAsia="Microsoft JhengHei" w:hAnsi="Calibri"/>
        </w:rPr>
      </w:pPr>
      <w:r w:rsidRPr="004D751F">
        <w:rPr>
          <w:rFonts w:ascii="Calibri" w:eastAsia="Microsoft JhengHei" w:hAnsi="Calibri"/>
          <w:i/>
        </w:rPr>
        <w:t>I</w:t>
      </w:r>
      <w:r w:rsidRPr="004D751F">
        <w:rPr>
          <w:rFonts w:ascii="Calibri" w:eastAsia="Microsoft JhengHei" w:hAnsi="Calibri" w:hint="eastAsia"/>
          <w:i/>
        </w:rPr>
        <w:t>nduced</w:t>
      </w:r>
      <w:r w:rsidR="004D751F">
        <w:rPr>
          <w:rFonts w:ascii="Calibri" w:eastAsia="Microsoft JhengHei" w:hAnsi="Calibri"/>
          <w:i/>
        </w:rPr>
        <w:t xml:space="preserve"> impact</w:t>
      </w:r>
      <w:r w:rsidRPr="00AE687E">
        <w:rPr>
          <w:rFonts w:ascii="Calibri" w:eastAsia="Microsoft JhengHei" w:hAnsi="Calibri"/>
        </w:rPr>
        <w:t>:</w:t>
      </w:r>
      <w:r w:rsidRPr="00AE687E">
        <w:rPr>
          <w:rFonts w:ascii="Calibri" w:eastAsia="Microsoft JhengHei" w:hAnsi="Calibri" w:hint="eastAsia"/>
        </w:rPr>
        <w:t xml:space="preserve"> </w:t>
      </w:r>
      <w:r>
        <w:rPr>
          <w:rFonts w:ascii="Calibri" w:eastAsia="Microsoft JhengHei" w:hAnsi="Calibri"/>
        </w:rPr>
        <w:t xml:space="preserve">this is </w:t>
      </w:r>
      <w:r w:rsidRPr="00AE687E">
        <w:rPr>
          <w:rFonts w:ascii="Calibri" w:eastAsia="Microsoft JhengHei" w:hAnsi="Calibri"/>
        </w:rPr>
        <w:t xml:space="preserve">the value and jobs supported in the wider economy when the direct and indirect employees of the </w:t>
      </w:r>
      <w:r w:rsidR="00654BBE">
        <w:rPr>
          <w:rFonts w:ascii="Calibri" w:eastAsia="Microsoft JhengHei" w:hAnsi="Calibri"/>
        </w:rPr>
        <w:t>Maritime Sector</w:t>
      </w:r>
      <w:r w:rsidRPr="00AE687E">
        <w:rPr>
          <w:rFonts w:ascii="Calibri" w:eastAsia="Microsoft JhengHei" w:hAnsi="Calibri"/>
        </w:rPr>
        <w:t xml:space="preserve"> </w:t>
      </w:r>
      <w:r>
        <w:rPr>
          <w:rFonts w:ascii="Calibri" w:eastAsia="Microsoft JhengHei" w:hAnsi="Calibri"/>
        </w:rPr>
        <w:t xml:space="preserve">in Wales </w:t>
      </w:r>
      <w:r w:rsidRPr="00AE687E">
        <w:rPr>
          <w:rFonts w:ascii="Calibri" w:eastAsia="Microsoft JhengHei" w:hAnsi="Calibri" w:hint="eastAsia"/>
        </w:rPr>
        <w:t>spend</w:t>
      </w:r>
      <w:r w:rsidRPr="00AE687E">
        <w:rPr>
          <w:rFonts w:ascii="Calibri" w:eastAsia="Microsoft JhengHei" w:hAnsi="Calibri"/>
        </w:rPr>
        <w:t xml:space="preserve"> their wages and salaries on final goods and services. </w:t>
      </w:r>
    </w:p>
    <w:p w14:paraId="6344E158" w14:textId="1F134716" w:rsidR="001C73C3" w:rsidRDefault="001C73C3" w:rsidP="001C73C3">
      <w:r>
        <w:t>These three impacts are then combined to convey the total impact associated with each Maritime industry in terms of business turnover, GVA, employment and the compensation of employees. Cebr has broadly taken a ‘top-down’ approach to estimate the direct impacts of the f</w:t>
      </w:r>
      <w:r w:rsidR="00884B29">
        <w:t xml:space="preserve">ive </w:t>
      </w:r>
      <w:r>
        <w:t xml:space="preserve">Maritime industries within Wales. In effect, this involves taking the UK direct impacts of each defined Maritime industry and applying relevant ratios from publicly-available data sources such as the UK Business Register and Employment Survey (BRES) – as well as private data sources such as Bureau Van Dijk’s </w:t>
      </w:r>
      <w:r>
        <w:rPr>
          <w:i/>
        </w:rPr>
        <w:t xml:space="preserve">Financial Accounts Made Easy </w:t>
      </w:r>
      <w:r>
        <w:t xml:space="preserve">(FAME) database – in order to attribute the contribution from the </w:t>
      </w:r>
      <w:r w:rsidR="00654BBE">
        <w:t>Maritime Sector</w:t>
      </w:r>
      <w:r>
        <w:t xml:space="preserve"> in Wales.</w:t>
      </w:r>
    </w:p>
    <w:p w14:paraId="6485E06E" w14:textId="612598F2" w:rsidR="001C73C3" w:rsidRDefault="001C73C3" w:rsidP="001C73C3">
      <w:r>
        <w:t>For each of the f</w:t>
      </w:r>
      <w:r w:rsidR="00884B29">
        <w:t xml:space="preserve">ive </w:t>
      </w:r>
      <w:r>
        <w:t xml:space="preserve">Maritime industries, the direct impacts are then combined with the regional economic multipliers provided by Cebr’s suite of regional input-output models for Wales, in order to then generate indirect, induced and subsequently wider impacts. </w:t>
      </w:r>
    </w:p>
    <w:p w14:paraId="19B6E534" w14:textId="32D4B97A" w:rsidR="001C73C3" w:rsidRDefault="00884B29" w:rsidP="001C73C3">
      <w:pPr>
        <w:pStyle w:val="Heading1"/>
      </w:pPr>
      <w:bookmarkStart w:id="12" w:name="_Toc486495366"/>
      <w:bookmarkStart w:id="13" w:name="_Toc486495424"/>
      <w:bookmarkStart w:id="14" w:name="_Toc18076334"/>
      <w:bookmarkEnd w:id="12"/>
      <w:bookmarkEnd w:id="13"/>
      <w:r>
        <w:lastRenderedPageBreak/>
        <w:t xml:space="preserve">The </w:t>
      </w:r>
      <w:r w:rsidR="00654BBE">
        <w:t>Maritime Sector</w:t>
      </w:r>
      <w:r w:rsidR="001C73C3">
        <w:t xml:space="preserve"> in Wales</w:t>
      </w:r>
      <w:bookmarkEnd w:id="14"/>
    </w:p>
    <w:p w14:paraId="0843CDE8" w14:textId="1E27932B" w:rsidR="001C73C3" w:rsidRDefault="001C73C3" w:rsidP="001C73C3">
      <w:pPr>
        <w:spacing w:after="120"/>
      </w:pPr>
      <w:r>
        <w:t>He</w:t>
      </w:r>
      <w:r w:rsidR="00884B29">
        <w:t xml:space="preserve">re we set out how the </w:t>
      </w:r>
      <w:r w:rsidR="00654BBE">
        <w:t>Maritime Sector</w:t>
      </w:r>
      <w:r>
        <w:t xml:space="preserve"> has been defined for the purposes of the study. On </w:t>
      </w:r>
      <w:r w:rsidR="00884B29">
        <w:t xml:space="preserve">a holistic level, the </w:t>
      </w:r>
      <w:r w:rsidR="00654BBE">
        <w:t>Maritime Sector</w:t>
      </w:r>
      <w:r w:rsidR="00884B29">
        <w:t xml:space="preserve"> can be disaggregated into the p</w:t>
      </w:r>
      <w:r>
        <w:t>orts,</w:t>
      </w:r>
      <w:r w:rsidR="00884B29">
        <w:t xml:space="preserve"> s</w:t>
      </w:r>
      <w:r w:rsidR="00333ADD">
        <w:t>hipping,</w:t>
      </w:r>
      <w:r w:rsidR="00884B29">
        <w:t xml:space="preserve"> leisure m</w:t>
      </w:r>
      <w:r w:rsidR="00333ADD">
        <w:t>arine</w:t>
      </w:r>
      <w:r w:rsidR="00884B29">
        <w:t>, marine engineering and scientific</w:t>
      </w:r>
      <w:r>
        <w:t xml:space="preserve"> and Maritime Business Services industries, which in themselves are formed of numerous individual and distinct activities. </w:t>
      </w:r>
    </w:p>
    <w:p w14:paraId="2C3EDFD3" w14:textId="5F12F397" w:rsidR="001C73C3" w:rsidRDefault="00884B29" w:rsidP="001C73C3">
      <w:pPr>
        <w:pStyle w:val="Heading2"/>
      </w:pPr>
      <w:bookmarkStart w:id="15" w:name="_Toc488396648"/>
      <w:bookmarkStart w:id="16" w:name="_Toc18076335"/>
      <w:r>
        <w:t xml:space="preserve">The definition of the </w:t>
      </w:r>
      <w:r w:rsidR="00654BBE">
        <w:t>Maritime Sector</w:t>
      </w:r>
      <w:r w:rsidR="001C73C3">
        <w:t xml:space="preserve"> and its constituent industries</w:t>
      </w:r>
      <w:bookmarkEnd w:id="15"/>
      <w:bookmarkEnd w:id="16"/>
    </w:p>
    <w:p w14:paraId="031D7161" w14:textId="03A64806" w:rsidR="001C73C3" w:rsidRDefault="001C73C3" w:rsidP="001C73C3">
      <w:r>
        <w:t>Maritime UK have provided a list of activities</w:t>
      </w:r>
      <w:r w:rsidR="00884B29">
        <w:t xml:space="preserve"> which fall under the </w:t>
      </w:r>
      <w:r w:rsidR="00654BBE">
        <w:t>Maritime Sector</w:t>
      </w:r>
      <w:r>
        <w:t>; Cebr has subsequently undertaken a mapping exercise using this list to</w:t>
      </w:r>
      <w:r w:rsidR="00884B29">
        <w:t xml:space="preserve"> identify how each of these five</w:t>
      </w:r>
      <w:r>
        <w:t xml:space="preserve"> industries aligns with the nation</w:t>
      </w:r>
      <w:r w:rsidR="00884B29">
        <w:t xml:space="preserve">al accounts. For most </w:t>
      </w:r>
      <w:r w:rsidR="00654BBE">
        <w:t>Maritime Sector</w:t>
      </w:r>
      <w:r>
        <w:t xml:space="preserve"> activities, a corresponding Standard Industrial Classification (SIC) code exists which enables the identification and quantification of the direct economic impacts using publicly-available data sources. A minority of activities do not map neatly against the SIC framework, necessitating the use of industry or local-level data for quantification purposes. </w:t>
      </w:r>
    </w:p>
    <w:p w14:paraId="1B9353E8" w14:textId="4B49C9CD" w:rsidR="001C73C3" w:rsidRDefault="00884B29" w:rsidP="001C73C3">
      <w:pPr>
        <w:spacing w:after="120"/>
      </w:pPr>
      <w:r>
        <w:t xml:space="preserve">The </w:t>
      </w:r>
      <w:r w:rsidR="00654BBE">
        <w:t>Maritime Sector</w:t>
      </w:r>
      <w:r w:rsidR="001C73C3">
        <w:t xml:space="preserve"> in </w:t>
      </w:r>
      <w:r w:rsidR="00AC5E49">
        <w:t>Wales</w:t>
      </w:r>
      <w:r w:rsidR="001C73C3">
        <w:t xml:space="preserve"> has therefore be</w:t>
      </w:r>
      <w:r w:rsidR="00AC5E49">
        <w:t>en</w:t>
      </w:r>
      <w:r w:rsidR="001C73C3">
        <w:t xml:space="preserve"> identified as consisting of the following activities. Each of the sub-sectors have been mapped to their sector by Cebr, in order to attribute Standard Industrial Classification (SIC) codes to the activity to allow their direct impacts to be measured. </w:t>
      </w:r>
    </w:p>
    <w:p w14:paraId="66DA0701" w14:textId="77777777" w:rsidR="00B00D3F" w:rsidRPr="00B857A5" w:rsidRDefault="00B00D3F" w:rsidP="00B00D3F">
      <w:pPr>
        <w:pStyle w:val="ListBullet"/>
        <w:numPr>
          <w:ilvl w:val="0"/>
          <w:numId w:val="32"/>
        </w:numPr>
        <w:spacing w:after="120"/>
        <w:ind w:left="360"/>
        <w:rPr>
          <w:b/>
          <w:szCs w:val="22"/>
        </w:rPr>
      </w:pPr>
      <w:bookmarkStart w:id="17" w:name="_Toc487547481"/>
      <w:bookmarkStart w:id="18" w:name="_Toc487547482"/>
      <w:bookmarkStart w:id="19" w:name="_Toc487547483"/>
      <w:bookmarkStart w:id="20" w:name="_Toc487547484"/>
      <w:bookmarkStart w:id="21" w:name="_Toc488396649"/>
      <w:bookmarkEnd w:id="17"/>
      <w:bookmarkEnd w:id="18"/>
      <w:bookmarkEnd w:id="19"/>
      <w:bookmarkEnd w:id="20"/>
      <w:r>
        <w:rPr>
          <w:rFonts w:ascii="Calibri" w:eastAsia="Microsoft JhengHei" w:hAnsi="Calibri"/>
          <w:b/>
          <w:szCs w:val="22"/>
        </w:rPr>
        <w:t>Shipping industry</w:t>
      </w:r>
    </w:p>
    <w:p w14:paraId="554B9970" w14:textId="77777777" w:rsidR="00B00D3F" w:rsidRPr="00D96868" w:rsidRDefault="00B00D3F" w:rsidP="00B00D3F">
      <w:pPr>
        <w:pStyle w:val="ListBullet"/>
        <w:numPr>
          <w:ilvl w:val="1"/>
          <w:numId w:val="32"/>
        </w:numPr>
        <w:spacing w:after="0"/>
        <w:rPr>
          <w:b/>
          <w:szCs w:val="22"/>
        </w:rPr>
      </w:pPr>
      <w:r w:rsidRPr="00D96868">
        <w:rPr>
          <w:szCs w:val="22"/>
        </w:rPr>
        <w:t>International passenger transport (cruise and ferry);</w:t>
      </w:r>
    </w:p>
    <w:p w14:paraId="504A42FD" w14:textId="77777777" w:rsidR="00B00D3F" w:rsidRPr="00D96868" w:rsidRDefault="00B00D3F" w:rsidP="00B00D3F">
      <w:pPr>
        <w:pStyle w:val="ListBullet"/>
        <w:numPr>
          <w:ilvl w:val="1"/>
          <w:numId w:val="32"/>
        </w:numPr>
        <w:spacing w:after="0"/>
        <w:rPr>
          <w:b/>
          <w:szCs w:val="22"/>
        </w:rPr>
      </w:pPr>
      <w:r w:rsidRPr="00D96868">
        <w:rPr>
          <w:szCs w:val="22"/>
        </w:rPr>
        <w:t>Domestic and inland waterway passenger transport;</w:t>
      </w:r>
    </w:p>
    <w:p w14:paraId="4BF8D3ED" w14:textId="77777777" w:rsidR="00B00D3F" w:rsidRPr="00D96868" w:rsidRDefault="00B00D3F" w:rsidP="00B00D3F">
      <w:pPr>
        <w:pStyle w:val="ListBullet"/>
        <w:numPr>
          <w:ilvl w:val="1"/>
          <w:numId w:val="32"/>
        </w:numPr>
        <w:spacing w:after="0"/>
        <w:rPr>
          <w:szCs w:val="22"/>
        </w:rPr>
      </w:pPr>
      <w:r w:rsidRPr="00D96868">
        <w:rPr>
          <w:szCs w:val="22"/>
        </w:rPr>
        <w:t>International freight transport (bulk, container, gas and tanker);</w:t>
      </w:r>
    </w:p>
    <w:p w14:paraId="23E71A25" w14:textId="77777777" w:rsidR="00B00D3F" w:rsidRPr="00D96868" w:rsidRDefault="00B00D3F" w:rsidP="00B00D3F">
      <w:pPr>
        <w:pStyle w:val="ListBullet"/>
        <w:numPr>
          <w:ilvl w:val="1"/>
          <w:numId w:val="32"/>
        </w:numPr>
        <w:spacing w:after="0"/>
        <w:rPr>
          <w:szCs w:val="22"/>
        </w:rPr>
      </w:pPr>
      <w:r w:rsidRPr="00D96868">
        <w:rPr>
          <w:szCs w:val="22"/>
        </w:rPr>
        <w:t>Domestic &amp; inland waterway freight transport;</w:t>
      </w:r>
    </w:p>
    <w:p w14:paraId="73E2B842" w14:textId="77777777" w:rsidR="00B00D3F" w:rsidRPr="00D96868" w:rsidRDefault="00B00D3F" w:rsidP="00B00D3F">
      <w:pPr>
        <w:pStyle w:val="ListBullet"/>
        <w:numPr>
          <w:ilvl w:val="1"/>
          <w:numId w:val="32"/>
        </w:numPr>
        <w:spacing w:after="120"/>
        <w:rPr>
          <w:b/>
          <w:szCs w:val="22"/>
        </w:rPr>
      </w:pPr>
      <w:r w:rsidRPr="00D96868">
        <w:rPr>
          <w:szCs w:val="22"/>
        </w:rPr>
        <w:t>Other shipping activity.</w:t>
      </w:r>
    </w:p>
    <w:p w14:paraId="5BC3AC5E" w14:textId="77777777" w:rsidR="00B00D3F" w:rsidRPr="0004066A"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Ports industry</w:t>
      </w:r>
    </w:p>
    <w:p w14:paraId="7CB87DAB" w14:textId="77777777" w:rsidR="00B00D3F" w:rsidRPr="00D65BA4" w:rsidRDefault="00B00D3F" w:rsidP="00B00D3F">
      <w:pPr>
        <w:pStyle w:val="ListBullet"/>
        <w:numPr>
          <w:ilvl w:val="1"/>
          <w:numId w:val="32"/>
        </w:numPr>
        <w:spacing w:after="0"/>
        <w:rPr>
          <w:rFonts w:ascii="Calibri" w:eastAsia="Microsoft JhengHei" w:hAnsi="Calibri"/>
          <w:szCs w:val="22"/>
        </w:rPr>
      </w:pPr>
      <w:r w:rsidRPr="00D65BA4">
        <w:rPr>
          <w:rFonts w:ascii="Calibri" w:eastAsia="Microsoft JhengHei" w:hAnsi="Calibri"/>
          <w:szCs w:val="22"/>
        </w:rPr>
        <w:t>Warehousing and storage;</w:t>
      </w:r>
    </w:p>
    <w:p w14:paraId="4CB9FC10" w14:textId="77777777" w:rsidR="00B00D3F" w:rsidRPr="00B857A5" w:rsidRDefault="00B00D3F" w:rsidP="00B00D3F">
      <w:pPr>
        <w:pStyle w:val="ListBullet"/>
        <w:numPr>
          <w:ilvl w:val="1"/>
          <w:numId w:val="32"/>
        </w:numPr>
        <w:spacing w:after="0"/>
        <w:rPr>
          <w:rFonts w:ascii="Calibri" w:eastAsia="Microsoft JhengHei" w:hAnsi="Calibri"/>
          <w:b/>
          <w:szCs w:val="22"/>
        </w:rPr>
      </w:pPr>
      <w:r w:rsidRPr="00B857A5">
        <w:rPr>
          <w:szCs w:val="22"/>
        </w:rPr>
        <w:t>Port activities and management;</w:t>
      </w:r>
    </w:p>
    <w:p w14:paraId="1607BDDE" w14:textId="77777777" w:rsidR="00B00D3F" w:rsidRPr="00E91851" w:rsidRDefault="00B00D3F" w:rsidP="00B00D3F">
      <w:pPr>
        <w:pStyle w:val="ListBullet"/>
        <w:numPr>
          <w:ilvl w:val="1"/>
          <w:numId w:val="32"/>
        </w:numPr>
        <w:spacing w:after="0"/>
        <w:rPr>
          <w:rFonts w:ascii="Calibri" w:eastAsia="Microsoft JhengHei" w:hAnsi="Calibri"/>
          <w:b/>
          <w:szCs w:val="22"/>
        </w:rPr>
      </w:pPr>
      <w:r w:rsidRPr="00E91851">
        <w:rPr>
          <w:szCs w:val="22"/>
        </w:rPr>
        <w:t>Stevedores, cargo and passenger handling;</w:t>
      </w:r>
    </w:p>
    <w:p w14:paraId="420BAF23" w14:textId="77777777" w:rsidR="00B00D3F" w:rsidRPr="00E91851" w:rsidRDefault="00B00D3F" w:rsidP="00B00D3F">
      <w:pPr>
        <w:pStyle w:val="ListBullet"/>
        <w:numPr>
          <w:ilvl w:val="1"/>
          <w:numId w:val="32"/>
        </w:numPr>
        <w:spacing w:after="120"/>
        <w:rPr>
          <w:rFonts w:ascii="Calibri" w:eastAsia="Microsoft JhengHei" w:hAnsi="Calibri"/>
          <w:b/>
          <w:szCs w:val="22"/>
        </w:rPr>
      </w:pPr>
      <w:r w:rsidRPr="00E91851">
        <w:rPr>
          <w:szCs w:val="22"/>
        </w:rPr>
        <w:t>Border agency, HMRC and public sector employees operating in ports.</w:t>
      </w:r>
    </w:p>
    <w:p w14:paraId="554AA21D" w14:textId="77777777" w:rsidR="00B00D3F" w:rsidRPr="00E91851"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Leisure marine industry</w:t>
      </w:r>
    </w:p>
    <w:p w14:paraId="2B3A088E" w14:textId="77777777" w:rsidR="00B00D3F"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Recreational marine activities, marine finance and legal activities and general marine services;</w:t>
      </w:r>
    </w:p>
    <w:p w14:paraId="6C66F724" w14:textId="77777777" w:rsidR="00B00D3F" w:rsidRPr="0049169E"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Boatbuilding (marine leisure vessels);</w:t>
      </w:r>
    </w:p>
    <w:p w14:paraId="45240BD3" w14:textId="77777777" w:rsidR="00B00D3F" w:rsidRPr="00E91851" w:rsidRDefault="00B00D3F" w:rsidP="00B00D3F">
      <w:pPr>
        <w:pStyle w:val="ListBullet"/>
        <w:numPr>
          <w:ilvl w:val="0"/>
          <w:numId w:val="0"/>
        </w:numPr>
        <w:spacing w:after="0"/>
        <w:ind w:left="644"/>
        <w:rPr>
          <w:rFonts w:ascii="Calibri" w:eastAsia="Microsoft JhengHei" w:hAnsi="Calibri"/>
          <w:szCs w:val="22"/>
        </w:rPr>
      </w:pPr>
    </w:p>
    <w:p w14:paraId="12E67F49" w14:textId="77777777" w:rsidR="00B00D3F" w:rsidRPr="00E91851" w:rsidRDefault="00B00D3F" w:rsidP="00B00D3F">
      <w:pPr>
        <w:pStyle w:val="ListBullet"/>
        <w:numPr>
          <w:ilvl w:val="0"/>
          <w:numId w:val="32"/>
        </w:numPr>
        <w:spacing w:after="120"/>
        <w:ind w:left="360"/>
        <w:rPr>
          <w:rFonts w:ascii="Calibri" w:eastAsia="Microsoft JhengHei" w:hAnsi="Calibri"/>
          <w:b/>
          <w:szCs w:val="22"/>
        </w:rPr>
      </w:pPr>
      <w:r>
        <w:rPr>
          <w:rFonts w:ascii="Calibri" w:eastAsia="Microsoft JhengHei" w:hAnsi="Calibri"/>
          <w:b/>
          <w:szCs w:val="22"/>
        </w:rPr>
        <w:t>Marine e</w:t>
      </w:r>
      <w:r w:rsidRPr="00E91851">
        <w:rPr>
          <w:rFonts w:ascii="Calibri" w:eastAsia="Microsoft JhengHei" w:hAnsi="Calibri"/>
          <w:b/>
          <w:szCs w:val="22"/>
        </w:rPr>
        <w:t>ngineering</w:t>
      </w:r>
      <w:r>
        <w:rPr>
          <w:rFonts w:ascii="Calibri" w:eastAsia="Microsoft JhengHei" w:hAnsi="Calibri"/>
          <w:b/>
          <w:szCs w:val="22"/>
        </w:rPr>
        <w:t xml:space="preserve"> and scientific industry</w:t>
      </w:r>
    </w:p>
    <w:p w14:paraId="2FADE0FF"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Shipbuilding;</w:t>
      </w:r>
    </w:p>
    <w:p w14:paraId="3C9D696F"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renewable energy;</w:t>
      </w:r>
    </w:p>
    <w:p w14:paraId="7DE29625" w14:textId="77777777" w:rsidR="00B00D3F" w:rsidRPr="00E91851" w:rsidRDefault="00B00D3F" w:rsidP="00B00D3F">
      <w:pPr>
        <w:pStyle w:val="ListBullet"/>
        <w:numPr>
          <w:ilvl w:val="1"/>
          <w:numId w:val="32"/>
        </w:numPr>
        <w:spacing w:after="0"/>
        <w:rPr>
          <w:rFonts w:ascii="Calibri" w:eastAsia="Microsoft JhengHei" w:hAnsi="Calibri"/>
          <w:szCs w:val="22"/>
        </w:rPr>
      </w:pPr>
      <w:r w:rsidRPr="00E91851">
        <w:rPr>
          <w:rFonts w:ascii="Calibri" w:eastAsia="Microsoft JhengHei" w:hAnsi="Calibri"/>
          <w:szCs w:val="22"/>
        </w:rPr>
        <w:t>Marine support activities for offshore oil and gas, engineering and mining;</w:t>
      </w:r>
    </w:p>
    <w:p w14:paraId="78A70CF0" w14:textId="77777777" w:rsidR="00B00D3F" w:rsidRPr="00E91851" w:rsidRDefault="00B00D3F" w:rsidP="00B00D3F">
      <w:pPr>
        <w:pStyle w:val="ListBullet"/>
        <w:numPr>
          <w:ilvl w:val="1"/>
          <w:numId w:val="32"/>
        </w:numPr>
        <w:spacing w:after="120"/>
        <w:rPr>
          <w:rFonts w:ascii="Calibri" w:eastAsia="Microsoft JhengHei" w:hAnsi="Calibri"/>
          <w:szCs w:val="22"/>
        </w:rPr>
      </w:pPr>
      <w:r w:rsidRPr="00E91851">
        <w:rPr>
          <w:rFonts w:ascii="Calibri" w:eastAsia="Microsoft JhengHei" w:hAnsi="Calibri"/>
          <w:szCs w:val="22"/>
        </w:rPr>
        <w:t>Marine science and academic activities, including government vessels and technical consulting;</w:t>
      </w:r>
    </w:p>
    <w:p w14:paraId="3BA84B00" w14:textId="77777777" w:rsidR="00B00D3F" w:rsidRPr="00E91851" w:rsidRDefault="00B00D3F" w:rsidP="00B00D3F">
      <w:pPr>
        <w:pStyle w:val="ListBullet"/>
        <w:numPr>
          <w:ilvl w:val="0"/>
          <w:numId w:val="32"/>
        </w:numPr>
        <w:spacing w:after="120"/>
        <w:ind w:left="360"/>
        <w:rPr>
          <w:b/>
          <w:szCs w:val="22"/>
        </w:rPr>
      </w:pPr>
      <w:r w:rsidRPr="00E91851">
        <w:rPr>
          <w:rFonts w:ascii="Calibri" w:eastAsia="Microsoft JhengHei" w:hAnsi="Calibri"/>
          <w:b/>
          <w:szCs w:val="22"/>
        </w:rPr>
        <w:t>Maritime</w:t>
      </w:r>
      <w:r w:rsidRPr="00E91851">
        <w:rPr>
          <w:b/>
          <w:szCs w:val="22"/>
        </w:rPr>
        <w:t xml:space="preserve"> Business Services industry</w:t>
      </w:r>
    </w:p>
    <w:p w14:paraId="4252038F" w14:textId="77777777" w:rsidR="00B00D3F" w:rsidRPr="00EA7F8D" w:rsidRDefault="00B00D3F" w:rsidP="00B00D3F">
      <w:pPr>
        <w:pStyle w:val="ListBullet"/>
        <w:numPr>
          <w:ilvl w:val="1"/>
          <w:numId w:val="32"/>
        </w:numPr>
        <w:spacing w:after="0"/>
        <w:rPr>
          <w:b/>
          <w:szCs w:val="22"/>
        </w:rPr>
      </w:pPr>
      <w:r>
        <w:rPr>
          <w:szCs w:val="22"/>
        </w:rPr>
        <w:t>Shipbroking services</w:t>
      </w:r>
      <w:r w:rsidRPr="00B857A5">
        <w:rPr>
          <w:szCs w:val="22"/>
        </w:rPr>
        <w:t>;</w:t>
      </w:r>
    </w:p>
    <w:p w14:paraId="5F5F6681" w14:textId="77777777" w:rsidR="00B00D3F" w:rsidRPr="008D399F" w:rsidRDefault="00B00D3F" w:rsidP="00B00D3F">
      <w:pPr>
        <w:pStyle w:val="ListBullet"/>
        <w:numPr>
          <w:ilvl w:val="1"/>
          <w:numId w:val="32"/>
        </w:numPr>
        <w:spacing w:after="0"/>
        <w:rPr>
          <w:b/>
          <w:szCs w:val="22"/>
        </w:rPr>
      </w:pPr>
      <w:r>
        <w:rPr>
          <w:szCs w:val="22"/>
        </w:rPr>
        <w:t>Maritime Insurance services</w:t>
      </w:r>
      <w:r w:rsidRPr="008D399F">
        <w:rPr>
          <w:szCs w:val="22"/>
        </w:rPr>
        <w:t>;</w:t>
      </w:r>
    </w:p>
    <w:p w14:paraId="69EC4FBB" w14:textId="77777777" w:rsidR="00B00D3F" w:rsidRPr="00C554CD" w:rsidRDefault="00B00D3F" w:rsidP="00B00D3F">
      <w:pPr>
        <w:pStyle w:val="ListBullet"/>
        <w:numPr>
          <w:ilvl w:val="1"/>
          <w:numId w:val="32"/>
        </w:numPr>
        <w:spacing w:after="0"/>
        <w:rPr>
          <w:szCs w:val="22"/>
        </w:rPr>
      </w:pPr>
      <w:r>
        <w:rPr>
          <w:szCs w:val="22"/>
        </w:rPr>
        <w:t>Maritime Financial services</w:t>
      </w:r>
      <w:r w:rsidRPr="008D399F">
        <w:rPr>
          <w:szCs w:val="22"/>
        </w:rPr>
        <w:t>;</w:t>
      </w:r>
    </w:p>
    <w:p w14:paraId="29BBB637" w14:textId="77777777" w:rsidR="00B00D3F" w:rsidRPr="007D0AE4" w:rsidRDefault="00B00D3F" w:rsidP="00B00D3F">
      <w:pPr>
        <w:pStyle w:val="ListBullet"/>
        <w:numPr>
          <w:ilvl w:val="1"/>
          <w:numId w:val="32"/>
        </w:numPr>
        <w:spacing w:after="0"/>
        <w:rPr>
          <w:szCs w:val="22"/>
        </w:rPr>
      </w:pPr>
      <w:r>
        <w:rPr>
          <w:szCs w:val="22"/>
        </w:rPr>
        <w:t>Maritime Legal services;</w:t>
      </w:r>
    </w:p>
    <w:p w14:paraId="214A2A6F" w14:textId="77777777" w:rsidR="00B00D3F" w:rsidRPr="00C554CD" w:rsidRDefault="00B00D3F" w:rsidP="00B00D3F">
      <w:pPr>
        <w:pStyle w:val="ListBullet"/>
        <w:numPr>
          <w:ilvl w:val="1"/>
          <w:numId w:val="32"/>
        </w:numPr>
        <w:spacing w:after="0"/>
        <w:rPr>
          <w:szCs w:val="22"/>
        </w:rPr>
      </w:pPr>
      <w:r>
        <w:rPr>
          <w:szCs w:val="22"/>
        </w:rPr>
        <w:t>Ship Surveying and Classification activities;</w:t>
      </w:r>
      <w:r w:rsidRPr="005F085E">
        <w:rPr>
          <w:szCs w:val="22"/>
        </w:rPr>
        <w:t xml:space="preserve"> </w:t>
      </w:r>
    </w:p>
    <w:p w14:paraId="354A9E9F" w14:textId="77777777" w:rsidR="00B00D3F" w:rsidRPr="007D0AE4" w:rsidRDefault="00B00D3F" w:rsidP="00B00D3F">
      <w:pPr>
        <w:pStyle w:val="ListBullet"/>
        <w:numPr>
          <w:ilvl w:val="1"/>
          <w:numId w:val="32"/>
        </w:numPr>
        <w:spacing w:after="0"/>
        <w:rPr>
          <w:szCs w:val="22"/>
        </w:rPr>
      </w:pPr>
      <w:r>
        <w:rPr>
          <w:szCs w:val="22"/>
        </w:rPr>
        <w:lastRenderedPageBreak/>
        <w:t>Maritime Education (including Maritime university courses and cadetships);</w:t>
      </w:r>
    </w:p>
    <w:p w14:paraId="0AB3F961" w14:textId="77777777" w:rsidR="00B00D3F" w:rsidRDefault="00B00D3F" w:rsidP="00B00D3F">
      <w:pPr>
        <w:pStyle w:val="ListBullet"/>
        <w:numPr>
          <w:ilvl w:val="1"/>
          <w:numId w:val="32"/>
        </w:numPr>
        <w:spacing w:after="0"/>
        <w:rPr>
          <w:szCs w:val="22"/>
        </w:rPr>
      </w:pPr>
      <w:r>
        <w:rPr>
          <w:szCs w:val="22"/>
        </w:rPr>
        <w:t>Maritime Consultancy; and</w:t>
      </w:r>
      <w:r w:rsidRPr="005F085E">
        <w:rPr>
          <w:szCs w:val="22"/>
        </w:rPr>
        <w:t xml:space="preserve"> </w:t>
      </w:r>
    </w:p>
    <w:p w14:paraId="3572B9E2" w14:textId="77777777" w:rsidR="00B00D3F" w:rsidRDefault="00B00D3F" w:rsidP="00B00D3F">
      <w:pPr>
        <w:pStyle w:val="ListBullet"/>
        <w:numPr>
          <w:ilvl w:val="1"/>
          <w:numId w:val="32"/>
        </w:numPr>
        <w:spacing w:after="0"/>
        <w:rPr>
          <w:szCs w:val="22"/>
        </w:rPr>
      </w:pPr>
      <w:r>
        <w:rPr>
          <w:szCs w:val="22"/>
        </w:rPr>
        <w:t>Maritime Accountancy.</w:t>
      </w:r>
    </w:p>
    <w:p w14:paraId="189A46A4" w14:textId="77777777" w:rsidR="00B00D3F" w:rsidRPr="001D5251" w:rsidRDefault="00B00D3F" w:rsidP="00B00D3F">
      <w:pPr>
        <w:pStyle w:val="ListBullet"/>
        <w:numPr>
          <w:ilvl w:val="0"/>
          <w:numId w:val="0"/>
        </w:numPr>
        <w:spacing w:after="0"/>
        <w:ind w:left="360" w:hanging="360"/>
        <w:rPr>
          <w:szCs w:val="22"/>
        </w:rPr>
      </w:pPr>
    </w:p>
    <w:p w14:paraId="77D143AC" w14:textId="7D2F1DC7" w:rsidR="001C73C3" w:rsidRDefault="00884B29" w:rsidP="001C73C3">
      <w:pPr>
        <w:pStyle w:val="Heading2"/>
      </w:pPr>
      <w:bookmarkStart w:id="22" w:name="_Toc18076336"/>
      <w:r>
        <w:t xml:space="preserve">Mapping the </w:t>
      </w:r>
      <w:r w:rsidR="00654BBE">
        <w:t>Maritime Sector</w:t>
      </w:r>
      <w:r w:rsidR="001C73C3">
        <w:t xml:space="preserve"> against the National Accounts framework</w:t>
      </w:r>
      <w:bookmarkEnd w:id="21"/>
      <w:bookmarkEnd w:id="22"/>
    </w:p>
    <w:p w14:paraId="321E1A77" w14:textId="64C99B1D" w:rsidR="001C73C3" w:rsidRDefault="001C73C3" w:rsidP="00AC5E49">
      <w:pPr>
        <w:pStyle w:val="ListBullet"/>
        <w:numPr>
          <w:ilvl w:val="0"/>
          <w:numId w:val="0"/>
        </w:numPr>
        <w:rPr>
          <w:rFonts w:ascii="Calibri" w:eastAsia="Microsoft JhengHei" w:hAnsi="Calibri"/>
          <w:szCs w:val="22"/>
        </w:rPr>
      </w:pPr>
      <w:r>
        <w:rPr>
          <w:rFonts w:ascii="Calibri" w:eastAsia="Microsoft JhengHei" w:hAnsi="Calibri"/>
          <w:szCs w:val="22"/>
        </w:rPr>
        <w:t>Here we set out how the direct economic contribution of the industries and activities listed in the previous subsection have been mapped against the national accounts framework. For activities which do not map neatly against this framework – in other words, when SIC codes cannot be used to accurately reflect or</w:t>
      </w:r>
      <w:r w:rsidR="00884B29">
        <w:rPr>
          <w:rFonts w:ascii="Calibri" w:eastAsia="Microsoft JhengHei" w:hAnsi="Calibri"/>
          <w:szCs w:val="22"/>
        </w:rPr>
        <w:t xml:space="preserve"> capture a particular </w:t>
      </w:r>
      <w:r w:rsidR="00654BBE">
        <w:rPr>
          <w:rFonts w:ascii="Calibri" w:eastAsia="Microsoft JhengHei" w:hAnsi="Calibri"/>
          <w:szCs w:val="22"/>
        </w:rPr>
        <w:t>Maritime Sector</w:t>
      </w:r>
      <w:r>
        <w:rPr>
          <w:rFonts w:ascii="Calibri" w:eastAsia="Microsoft JhengHei" w:hAnsi="Calibri"/>
          <w:szCs w:val="22"/>
        </w:rPr>
        <w:t xml:space="preserve">-related activity – we outline the industry-level sources to separately quantify the economic contribution. </w:t>
      </w:r>
    </w:p>
    <w:p w14:paraId="47EA202C" w14:textId="699B26F9" w:rsidR="001C73C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It should be stressed that the Maritime industries as defined here are unlikely to be exhaustive, and that further work may be necessary to fully capture the fullest extent of activities taking</w:t>
      </w:r>
      <w:r w:rsidR="00884B29">
        <w:rPr>
          <w:rFonts w:ascii="Calibri" w:eastAsia="Microsoft JhengHei" w:hAnsi="Calibri"/>
          <w:szCs w:val="22"/>
        </w:rPr>
        <w:t xml:space="preserve"> place in the </w:t>
      </w:r>
      <w:r w:rsidR="00654BBE">
        <w:rPr>
          <w:rFonts w:ascii="Calibri" w:eastAsia="Microsoft JhengHei" w:hAnsi="Calibri"/>
          <w:szCs w:val="22"/>
        </w:rPr>
        <w:t>Maritime Sector</w:t>
      </w:r>
      <w:r>
        <w:rPr>
          <w:rFonts w:ascii="Calibri" w:eastAsia="Microsoft JhengHei" w:hAnsi="Calibri"/>
          <w:szCs w:val="22"/>
        </w:rPr>
        <w:t>, several of which are often difficult to define within the existing National Accounts framework. There may therefore be a greater role for the UK Government to expand the exist</w:t>
      </w:r>
      <w:r w:rsidR="00884B29">
        <w:rPr>
          <w:rFonts w:ascii="Calibri" w:eastAsia="Microsoft JhengHei" w:hAnsi="Calibri"/>
          <w:szCs w:val="22"/>
        </w:rPr>
        <w:t xml:space="preserve">ing definition of the </w:t>
      </w:r>
      <w:r w:rsidR="00654BBE">
        <w:rPr>
          <w:rFonts w:ascii="Calibri" w:eastAsia="Microsoft JhengHei" w:hAnsi="Calibri"/>
          <w:szCs w:val="22"/>
        </w:rPr>
        <w:t>Maritime Sector</w:t>
      </w:r>
      <w:r>
        <w:rPr>
          <w:rFonts w:ascii="Calibri" w:eastAsia="Microsoft JhengHei" w:hAnsi="Calibri"/>
          <w:szCs w:val="22"/>
        </w:rPr>
        <w:t>, in order that the true value of economic activity supported is then measured.</w:t>
      </w:r>
    </w:p>
    <w:p w14:paraId="7BE102C2" w14:textId="24DFD02B" w:rsidR="001C73C3" w:rsidRDefault="00333ADD" w:rsidP="00AC5E49">
      <w:pPr>
        <w:pStyle w:val="ListBullet"/>
        <w:numPr>
          <w:ilvl w:val="0"/>
          <w:numId w:val="0"/>
        </w:numPr>
        <w:spacing w:after="120"/>
        <w:ind w:left="360" w:hanging="360"/>
        <w:rPr>
          <w:rFonts w:ascii="Calibri" w:eastAsia="Microsoft JhengHei" w:hAnsi="Calibri"/>
          <w:b/>
          <w:szCs w:val="22"/>
        </w:rPr>
      </w:pPr>
      <w:r>
        <w:rPr>
          <w:rFonts w:ascii="Calibri" w:eastAsia="Microsoft JhengHei" w:hAnsi="Calibri"/>
          <w:b/>
          <w:szCs w:val="22"/>
        </w:rPr>
        <w:t xml:space="preserve">The </w:t>
      </w:r>
      <w:r w:rsidR="00BD2AE3">
        <w:rPr>
          <w:rFonts w:ascii="Calibri" w:eastAsia="Microsoft JhengHei" w:hAnsi="Calibri"/>
          <w:b/>
          <w:szCs w:val="22"/>
        </w:rPr>
        <w:t>p</w:t>
      </w:r>
      <w:r w:rsidR="001C73C3" w:rsidRPr="00CE5C73">
        <w:rPr>
          <w:rFonts w:ascii="Calibri" w:eastAsia="Microsoft JhengHei" w:hAnsi="Calibri"/>
          <w:b/>
          <w:szCs w:val="22"/>
        </w:rPr>
        <w:t>orts</w:t>
      </w:r>
      <w:r>
        <w:rPr>
          <w:rFonts w:ascii="Calibri" w:eastAsia="Microsoft JhengHei" w:hAnsi="Calibri"/>
          <w:b/>
          <w:szCs w:val="22"/>
        </w:rPr>
        <w:t xml:space="preserve"> and </w:t>
      </w:r>
      <w:r w:rsidR="00BD2AE3">
        <w:rPr>
          <w:rFonts w:ascii="Calibri" w:eastAsia="Microsoft JhengHei" w:hAnsi="Calibri"/>
          <w:b/>
          <w:szCs w:val="22"/>
        </w:rPr>
        <w:t>s</w:t>
      </w:r>
      <w:r w:rsidRPr="00CE5C73">
        <w:rPr>
          <w:rFonts w:ascii="Calibri" w:eastAsia="Microsoft JhengHei" w:hAnsi="Calibri"/>
          <w:b/>
          <w:szCs w:val="22"/>
        </w:rPr>
        <w:t>hipping</w:t>
      </w:r>
      <w:r w:rsidR="001C73C3" w:rsidRPr="00CE5C73">
        <w:rPr>
          <w:rFonts w:ascii="Calibri" w:eastAsia="Microsoft JhengHei" w:hAnsi="Calibri"/>
          <w:b/>
          <w:szCs w:val="22"/>
        </w:rPr>
        <w:t xml:space="preserve"> industries</w:t>
      </w:r>
    </w:p>
    <w:p w14:paraId="620611DE" w14:textId="6AAAC240" w:rsidR="00884B29" w:rsidRPr="00884B29" w:rsidRDefault="00884B29" w:rsidP="00884B29">
      <w:pPr>
        <w:pStyle w:val="ListBullet"/>
        <w:numPr>
          <w:ilvl w:val="0"/>
          <w:numId w:val="0"/>
        </w:numPr>
        <w:spacing w:after="120"/>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_Ref490044525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w:t>
      </w:r>
      <w:r>
        <w:rPr>
          <w:rFonts w:ascii="Calibri" w:eastAsia="Microsoft JhengHei" w:hAnsi="Calibri"/>
          <w:szCs w:val="22"/>
        </w:rPr>
        <w:fldChar w:fldCharType="end"/>
      </w:r>
      <w:r>
        <w:rPr>
          <w:rFonts w:ascii="Calibri" w:eastAsia="Microsoft JhengHei" w:hAnsi="Calibri"/>
          <w:szCs w:val="22"/>
        </w:rPr>
        <w:t xml:space="preserve"> and </w:t>
      </w:r>
      <w:r>
        <w:rPr>
          <w:rFonts w:ascii="Calibri" w:eastAsia="Microsoft JhengHei" w:hAnsi="Calibri"/>
          <w:szCs w:val="22"/>
        </w:rPr>
        <w:fldChar w:fldCharType="begin"/>
      </w:r>
      <w:r>
        <w:rPr>
          <w:rFonts w:ascii="Calibri" w:eastAsia="Microsoft JhengHei" w:hAnsi="Calibri"/>
          <w:szCs w:val="22"/>
        </w:rPr>
        <w:instrText xml:space="preserve"> REF _Ref16841698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2</w:t>
      </w:r>
      <w:r>
        <w:rPr>
          <w:rFonts w:ascii="Calibri" w:eastAsia="Microsoft JhengHei" w:hAnsi="Calibri"/>
          <w:szCs w:val="22"/>
        </w:rPr>
        <w:fldChar w:fldCharType="end"/>
      </w:r>
      <w:r w:rsidR="001C07BD">
        <w:rPr>
          <w:rFonts w:ascii="Calibri" w:eastAsia="Microsoft JhengHei" w:hAnsi="Calibri"/>
          <w:szCs w:val="22"/>
        </w:rPr>
        <w:t xml:space="preserve"> shows how activities for the ports and s</w:t>
      </w:r>
      <w:r>
        <w:rPr>
          <w:rFonts w:ascii="Calibri" w:eastAsia="Microsoft JhengHei" w:hAnsi="Calibri"/>
          <w:szCs w:val="22"/>
        </w:rPr>
        <w:t xml:space="preserve">hipping industries have been identified, and the data sources used to capture and quantify the associated economic activity. </w:t>
      </w:r>
    </w:p>
    <w:p w14:paraId="627AE554" w14:textId="3F0D5D0B" w:rsidR="008E0882" w:rsidRDefault="008E0882" w:rsidP="008E0882">
      <w:pPr>
        <w:pStyle w:val="Caption"/>
        <w:keepNext/>
      </w:pPr>
      <w:bookmarkStart w:id="23" w:name="_Ref490044525"/>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1</w:t>
      </w:r>
      <w:r w:rsidR="00A420C1">
        <w:rPr>
          <w:noProof/>
        </w:rPr>
        <w:fldChar w:fldCharType="end"/>
      </w:r>
      <w:bookmarkEnd w:id="23"/>
      <w:r>
        <w:t xml:space="preserve">: </w:t>
      </w:r>
      <w:r w:rsidRPr="0023063F">
        <w:t xml:space="preserve">Mapping of </w:t>
      </w:r>
      <w:r w:rsidR="00654BBE">
        <w:t>Maritime Sector</w:t>
      </w:r>
      <w:r w:rsidRPr="0023063F">
        <w:t xml:space="preserve"> activities: </w:t>
      </w:r>
      <w:r w:rsidR="00BD2AE3">
        <w:t>p</w:t>
      </w:r>
      <w:r w:rsidRPr="0023063F">
        <w:t>orts industries</w:t>
      </w:r>
    </w:p>
    <w:tbl>
      <w:tblPr>
        <w:tblW w:w="9336" w:type="dxa"/>
        <w:tblInd w:w="-10" w:type="dxa"/>
        <w:tblLook w:val="04A0" w:firstRow="1" w:lastRow="0" w:firstColumn="1" w:lastColumn="0" w:noHBand="0" w:noVBand="1"/>
      </w:tblPr>
      <w:tblGrid>
        <w:gridCol w:w="1442"/>
        <w:gridCol w:w="2674"/>
        <w:gridCol w:w="3636"/>
        <w:gridCol w:w="1584"/>
      </w:tblGrid>
      <w:tr w:rsidR="00BD2AE3" w:rsidRPr="00040DD1" w14:paraId="438E29C1" w14:textId="77777777" w:rsidTr="00071DC7">
        <w:trPr>
          <w:trHeight w:val="410"/>
        </w:trPr>
        <w:tc>
          <w:tcPr>
            <w:tcW w:w="1442" w:type="dxa"/>
            <w:tcBorders>
              <w:top w:val="nil"/>
              <w:left w:val="single" w:sz="8" w:space="0" w:color="FFFFFF"/>
              <w:bottom w:val="single" w:sz="12" w:space="0" w:color="FFFFFF"/>
              <w:right w:val="single" w:sz="12" w:space="0" w:color="FFFFFF"/>
            </w:tcBorders>
            <w:shd w:val="clear" w:color="000000" w:fill="008C9B"/>
            <w:vAlign w:val="center"/>
            <w:hideMark/>
          </w:tcPr>
          <w:p w14:paraId="30327BB2"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GROUPING</w:t>
            </w:r>
          </w:p>
        </w:tc>
        <w:tc>
          <w:tcPr>
            <w:tcW w:w="2674" w:type="dxa"/>
            <w:tcBorders>
              <w:top w:val="nil"/>
              <w:left w:val="nil"/>
              <w:bottom w:val="single" w:sz="12" w:space="0" w:color="FFFFFF"/>
              <w:right w:val="single" w:sz="12" w:space="0" w:color="FFFFFF"/>
            </w:tcBorders>
            <w:shd w:val="clear" w:color="000000" w:fill="008C9B"/>
            <w:vAlign w:val="center"/>
            <w:hideMark/>
          </w:tcPr>
          <w:p w14:paraId="1BC015F6"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ACTIVITY</w:t>
            </w:r>
          </w:p>
        </w:tc>
        <w:tc>
          <w:tcPr>
            <w:tcW w:w="3636" w:type="dxa"/>
            <w:tcBorders>
              <w:top w:val="nil"/>
              <w:left w:val="nil"/>
              <w:bottom w:val="single" w:sz="12" w:space="0" w:color="FFFFFF"/>
              <w:right w:val="single" w:sz="12" w:space="0" w:color="FFFFFF"/>
            </w:tcBorders>
            <w:shd w:val="clear" w:color="000000" w:fill="008C9B"/>
            <w:vAlign w:val="center"/>
            <w:hideMark/>
          </w:tcPr>
          <w:p w14:paraId="33173DFC"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MAPPING</w:t>
            </w:r>
          </w:p>
        </w:tc>
        <w:tc>
          <w:tcPr>
            <w:tcW w:w="1584" w:type="dxa"/>
            <w:tcBorders>
              <w:top w:val="nil"/>
              <w:left w:val="nil"/>
              <w:bottom w:val="single" w:sz="12" w:space="0" w:color="FFFFFF"/>
              <w:right w:val="single" w:sz="12" w:space="0" w:color="FFFFFF"/>
            </w:tcBorders>
            <w:shd w:val="clear" w:color="000000" w:fill="008C9B"/>
            <w:vAlign w:val="center"/>
            <w:hideMark/>
          </w:tcPr>
          <w:p w14:paraId="1DB1A831"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SOURCE(S) USED</w:t>
            </w:r>
          </w:p>
        </w:tc>
      </w:tr>
      <w:tr w:rsidR="00BD2AE3" w:rsidRPr="00040DD1" w14:paraId="372459AB" w14:textId="77777777" w:rsidTr="00071DC7">
        <w:trPr>
          <w:trHeight w:val="811"/>
        </w:trPr>
        <w:tc>
          <w:tcPr>
            <w:tcW w:w="1442"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3FE4B5AB" w14:textId="77777777" w:rsidR="00BD2AE3" w:rsidRPr="00040DD1" w:rsidRDefault="00BD2AE3" w:rsidP="00071DC7">
            <w:pPr>
              <w:spacing w:after="0"/>
              <w:jc w:val="center"/>
              <w:rPr>
                <w:rFonts w:ascii="Calibri" w:eastAsia="Times New Roman" w:hAnsi="Calibri"/>
                <w:b/>
                <w:bCs/>
                <w:color w:val="FFFFFF"/>
                <w:sz w:val="20"/>
                <w:lang w:eastAsia="en-GB"/>
              </w:rPr>
            </w:pPr>
            <w:r w:rsidRPr="00040DD1">
              <w:rPr>
                <w:rFonts w:ascii="Calibri" w:eastAsia="Times New Roman" w:hAnsi="Calibri"/>
                <w:b/>
                <w:bCs/>
                <w:color w:val="FFFFFF"/>
                <w:sz w:val="20"/>
                <w:lang w:eastAsia="en-GB"/>
              </w:rPr>
              <w:t>PORTS</w:t>
            </w:r>
          </w:p>
        </w:tc>
        <w:tc>
          <w:tcPr>
            <w:tcW w:w="2674" w:type="dxa"/>
            <w:tcBorders>
              <w:top w:val="nil"/>
              <w:left w:val="nil"/>
              <w:bottom w:val="single" w:sz="8" w:space="0" w:color="FFFFFF"/>
              <w:right w:val="single" w:sz="8" w:space="0" w:color="FFFFFF"/>
            </w:tcBorders>
            <w:shd w:val="clear" w:color="auto" w:fill="E7EEEF"/>
            <w:vAlign w:val="center"/>
            <w:hideMark/>
          </w:tcPr>
          <w:p w14:paraId="441A31D2"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Warehousing and Storage</w:t>
            </w:r>
          </w:p>
        </w:tc>
        <w:tc>
          <w:tcPr>
            <w:tcW w:w="3636" w:type="dxa"/>
            <w:tcBorders>
              <w:top w:val="nil"/>
              <w:left w:val="nil"/>
              <w:bottom w:val="single" w:sz="8" w:space="0" w:color="FFFFFF"/>
              <w:right w:val="single" w:sz="8" w:space="0" w:color="FFFFFF"/>
            </w:tcBorders>
            <w:shd w:val="clear" w:color="000000" w:fill="E7EEEF"/>
            <w:vAlign w:val="center"/>
            <w:hideMark/>
          </w:tcPr>
          <w:p w14:paraId="3BF610D1"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52101, "Operation of Warehousing and Storage Facilities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69EFFF5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1189E5CE" w14:textId="77777777" w:rsidTr="00071DC7">
        <w:trPr>
          <w:trHeight w:val="1117"/>
        </w:trPr>
        <w:tc>
          <w:tcPr>
            <w:tcW w:w="1442" w:type="dxa"/>
            <w:vMerge/>
            <w:tcBorders>
              <w:top w:val="nil"/>
              <w:left w:val="single" w:sz="8" w:space="0" w:color="FFFFFF"/>
              <w:bottom w:val="single" w:sz="12" w:space="0" w:color="FFFFFF"/>
              <w:right w:val="single" w:sz="12" w:space="0" w:color="FFFFFF"/>
            </w:tcBorders>
            <w:vAlign w:val="center"/>
            <w:hideMark/>
          </w:tcPr>
          <w:p w14:paraId="0890C885"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35695029"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Port Authority Management, Port Security and Marshals, Port Marine and Vessel Management Services, Marine Pilots, Port Harbour Support Vessels, and Engineering and Maintenance</w:t>
            </w:r>
          </w:p>
        </w:tc>
        <w:tc>
          <w:tcPr>
            <w:tcW w:w="3636" w:type="dxa"/>
            <w:tcBorders>
              <w:top w:val="nil"/>
              <w:left w:val="nil"/>
              <w:bottom w:val="single" w:sz="8" w:space="0" w:color="FFFFFF"/>
              <w:right w:val="single" w:sz="8" w:space="0" w:color="FFFFFF"/>
            </w:tcBorders>
            <w:shd w:val="clear" w:color="000000" w:fill="D0CECE"/>
            <w:vAlign w:val="center"/>
            <w:hideMark/>
          </w:tcPr>
          <w:p w14:paraId="2435176D"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52220, "Service activities incidental to water transportation".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D0CECE"/>
            <w:vAlign w:val="center"/>
            <w:hideMark/>
          </w:tcPr>
          <w:p w14:paraId="23D084F8"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1D372BCD" w14:textId="77777777" w:rsidTr="00071DC7">
        <w:trPr>
          <w:trHeight w:val="763"/>
        </w:trPr>
        <w:tc>
          <w:tcPr>
            <w:tcW w:w="1442" w:type="dxa"/>
            <w:vMerge/>
            <w:tcBorders>
              <w:top w:val="nil"/>
              <w:left w:val="single" w:sz="8" w:space="0" w:color="FFFFFF"/>
              <w:bottom w:val="single" w:sz="12" w:space="0" w:color="FFFFFF"/>
              <w:right w:val="single" w:sz="12" w:space="0" w:color="FFFFFF"/>
            </w:tcBorders>
            <w:vAlign w:val="center"/>
            <w:hideMark/>
          </w:tcPr>
          <w:p w14:paraId="7241BCCA"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E7EEEF"/>
            <w:vAlign w:val="center"/>
            <w:hideMark/>
          </w:tcPr>
          <w:p w14:paraId="5EF490F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Stevedores, cargo and passenger handling including crane/vehicle/plant drivers/operators</w:t>
            </w:r>
          </w:p>
        </w:tc>
        <w:tc>
          <w:tcPr>
            <w:tcW w:w="3636" w:type="dxa"/>
            <w:tcBorders>
              <w:top w:val="nil"/>
              <w:left w:val="nil"/>
              <w:bottom w:val="single" w:sz="8" w:space="0" w:color="FFFFFF"/>
              <w:right w:val="single" w:sz="8" w:space="0" w:color="FFFFFF"/>
            </w:tcBorders>
            <w:shd w:val="clear" w:color="000000" w:fill="E7EEEF"/>
            <w:vAlign w:val="center"/>
            <w:hideMark/>
          </w:tcPr>
          <w:p w14:paraId="676AFA45"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through SIC code 52241, "Cargo Handling for Water Transport Activities". Activities are then mapped to council wards containing major and minor UK ports.</w:t>
            </w:r>
          </w:p>
        </w:tc>
        <w:tc>
          <w:tcPr>
            <w:tcW w:w="1584" w:type="dxa"/>
            <w:tcBorders>
              <w:top w:val="nil"/>
              <w:left w:val="nil"/>
              <w:bottom w:val="single" w:sz="8" w:space="0" w:color="FFFFFF"/>
              <w:right w:val="single" w:sz="8" w:space="0" w:color="FFFFFF"/>
            </w:tcBorders>
            <w:shd w:val="clear" w:color="000000" w:fill="E7EEEF"/>
            <w:vAlign w:val="center"/>
            <w:hideMark/>
          </w:tcPr>
          <w:p w14:paraId="0E102A65"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FAME, BRES</w:t>
            </w:r>
          </w:p>
        </w:tc>
      </w:tr>
      <w:tr w:rsidR="00BD2AE3" w:rsidRPr="00040DD1" w14:paraId="4FFF624D" w14:textId="77777777" w:rsidTr="00071DC7">
        <w:trPr>
          <w:trHeight w:val="776"/>
        </w:trPr>
        <w:tc>
          <w:tcPr>
            <w:tcW w:w="1442" w:type="dxa"/>
            <w:vMerge/>
            <w:tcBorders>
              <w:top w:val="nil"/>
              <w:left w:val="single" w:sz="8" w:space="0" w:color="FFFFFF"/>
              <w:bottom w:val="single" w:sz="12" w:space="0" w:color="FFFFFF"/>
              <w:right w:val="single" w:sz="12" w:space="0" w:color="FFFFFF"/>
            </w:tcBorders>
            <w:vAlign w:val="center"/>
            <w:hideMark/>
          </w:tcPr>
          <w:p w14:paraId="68981968" w14:textId="77777777" w:rsidR="00BD2AE3" w:rsidRPr="00040DD1" w:rsidRDefault="00BD2AE3" w:rsidP="00071DC7">
            <w:pPr>
              <w:spacing w:after="0"/>
              <w:jc w:val="center"/>
              <w:rPr>
                <w:rFonts w:ascii="Calibri" w:eastAsia="Times New Roman" w:hAnsi="Calibri"/>
                <w:b/>
                <w:bCs/>
                <w:color w:val="FFFFFF"/>
                <w:sz w:val="20"/>
                <w:lang w:eastAsia="en-GB"/>
              </w:rPr>
            </w:pPr>
          </w:p>
        </w:tc>
        <w:tc>
          <w:tcPr>
            <w:tcW w:w="2674" w:type="dxa"/>
            <w:tcBorders>
              <w:top w:val="nil"/>
              <w:left w:val="nil"/>
              <w:bottom w:val="single" w:sz="8" w:space="0" w:color="FFFFFF"/>
              <w:right w:val="single" w:sz="8" w:space="0" w:color="FFFFFF"/>
            </w:tcBorders>
            <w:shd w:val="clear" w:color="000000" w:fill="D0CECE"/>
            <w:vAlign w:val="center"/>
            <w:hideMark/>
          </w:tcPr>
          <w:p w14:paraId="2E13A4FE"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Border Agency, Home Office and HMRC staff operating in Ports</w:t>
            </w:r>
          </w:p>
        </w:tc>
        <w:tc>
          <w:tcPr>
            <w:tcW w:w="3636" w:type="dxa"/>
            <w:tcBorders>
              <w:top w:val="nil"/>
              <w:left w:val="nil"/>
              <w:bottom w:val="single" w:sz="8" w:space="0" w:color="FFFFFF"/>
              <w:right w:val="single" w:sz="8" w:space="0" w:color="FFFFFF"/>
            </w:tcBorders>
            <w:shd w:val="clear" w:color="000000" w:fill="D0CECE"/>
            <w:vAlign w:val="center"/>
            <w:hideMark/>
          </w:tcPr>
          <w:p w14:paraId="42AD6191"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Identified as public sector employees operating in UK ports.</w:t>
            </w:r>
          </w:p>
        </w:tc>
        <w:tc>
          <w:tcPr>
            <w:tcW w:w="1584" w:type="dxa"/>
            <w:tcBorders>
              <w:top w:val="nil"/>
              <w:left w:val="nil"/>
              <w:bottom w:val="single" w:sz="8" w:space="0" w:color="FFFFFF"/>
              <w:right w:val="single" w:sz="8" w:space="0" w:color="FFFFFF"/>
            </w:tcBorders>
            <w:shd w:val="clear" w:color="000000" w:fill="D0CECE"/>
            <w:vAlign w:val="center"/>
            <w:hideMark/>
          </w:tcPr>
          <w:p w14:paraId="1084C17C" w14:textId="77777777" w:rsidR="00BD2AE3" w:rsidRPr="00040DD1" w:rsidRDefault="00BD2AE3" w:rsidP="00071DC7">
            <w:pPr>
              <w:spacing w:after="0"/>
              <w:jc w:val="center"/>
              <w:rPr>
                <w:rFonts w:ascii="Calibri" w:eastAsia="Times New Roman" w:hAnsi="Calibri"/>
                <w:color w:val="000000"/>
                <w:sz w:val="18"/>
                <w:szCs w:val="18"/>
                <w:lang w:eastAsia="en-GB"/>
              </w:rPr>
            </w:pPr>
            <w:r w:rsidRPr="00040DD1">
              <w:rPr>
                <w:rFonts w:ascii="Calibri" w:eastAsia="Times New Roman" w:hAnsi="Calibri"/>
                <w:color w:val="000000"/>
                <w:sz w:val="18"/>
                <w:szCs w:val="18"/>
                <w:lang w:eastAsia="en-GB"/>
              </w:rPr>
              <w:t>Institute for Government, Port Freight Statistics, Cebr analysis</w:t>
            </w:r>
          </w:p>
        </w:tc>
      </w:tr>
    </w:tbl>
    <w:p w14:paraId="4B34875F" w14:textId="77777777" w:rsidR="001C73C3" w:rsidRDefault="001C73C3" w:rsidP="001C73C3">
      <w:pPr>
        <w:keepNext/>
        <w:keepLines/>
        <w:spacing w:before="60" w:after="0"/>
        <w:jc w:val="right"/>
        <w:rPr>
          <w:i/>
          <w:sz w:val="18"/>
        </w:rPr>
      </w:pPr>
      <w:r>
        <w:rPr>
          <w:i/>
          <w:sz w:val="18"/>
        </w:rPr>
        <w:t>Source: Maritime UK, Cebr analysis</w:t>
      </w:r>
    </w:p>
    <w:p w14:paraId="204FC8DF" w14:textId="77777777" w:rsidR="008D0671" w:rsidRDefault="008D0671" w:rsidP="00BD2AE3">
      <w:pPr>
        <w:pStyle w:val="Caption"/>
      </w:pPr>
      <w:bookmarkStart w:id="24" w:name="_Ref16841698"/>
    </w:p>
    <w:p w14:paraId="2FD9D181" w14:textId="77777777" w:rsidR="008D0671" w:rsidRDefault="008D0671" w:rsidP="00BD2AE3">
      <w:pPr>
        <w:pStyle w:val="Caption"/>
      </w:pPr>
    </w:p>
    <w:p w14:paraId="52470812" w14:textId="77777777" w:rsidR="008D0671" w:rsidRDefault="008D0671" w:rsidP="00BD2AE3">
      <w:pPr>
        <w:pStyle w:val="Caption"/>
      </w:pPr>
    </w:p>
    <w:p w14:paraId="0A0D7BF3" w14:textId="77777777" w:rsidR="008D0671" w:rsidRDefault="008D0671" w:rsidP="00BD2AE3">
      <w:pPr>
        <w:pStyle w:val="Caption"/>
      </w:pPr>
    </w:p>
    <w:p w14:paraId="4258D1D9" w14:textId="77777777" w:rsidR="008D0671" w:rsidRDefault="008D0671" w:rsidP="00BD2AE3">
      <w:pPr>
        <w:pStyle w:val="Caption"/>
      </w:pPr>
    </w:p>
    <w:p w14:paraId="31385129" w14:textId="77777777" w:rsidR="008D0671" w:rsidRDefault="008D0671" w:rsidP="00BD2AE3">
      <w:pPr>
        <w:pStyle w:val="Caption"/>
      </w:pPr>
    </w:p>
    <w:p w14:paraId="393A1D28" w14:textId="56EE0B42" w:rsidR="001C73C3" w:rsidRDefault="00BD2AE3" w:rsidP="00BD2AE3">
      <w:pPr>
        <w:pStyle w:val="Caption"/>
        <w:rPr>
          <w:rFonts w:ascii="Calibri" w:eastAsia="Microsoft JhengHei" w:hAnsi="Calibri"/>
          <w:szCs w:val="22"/>
        </w:rPr>
      </w:pPr>
      <w:r>
        <w:lastRenderedPageBreak/>
        <w:t xml:space="preserve">Table </w:t>
      </w:r>
      <w:r w:rsidR="00071DC7">
        <w:rPr>
          <w:noProof/>
        </w:rPr>
        <w:fldChar w:fldCharType="begin"/>
      </w:r>
      <w:r w:rsidR="00071DC7">
        <w:rPr>
          <w:noProof/>
        </w:rPr>
        <w:instrText xml:space="preserve"> SEQ Table \* ARABIC </w:instrText>
      </w:r>
      <w:r w:rsidR="00071DC7">
        <w:rPr>
          <w:noProof/>
        </w:rPr>
        <w:fldChar w:fldCharType="separate"/>
      </w:r>
      <w:r w:rsidR="00963862">
        <w:rPr>
          <w:noProof/>
        </w:rPr>
        <w:t>2</w:t>
      </w:r>
      <w:r w:rsidR="00071DC7">
        <w:rPr>
          <w:noProof/>
        </w:rPr>
        <w:fldChar w:fldCharType="end"/>
      </w:r>
      <w:bookmarkEnd w:id="24"/>
      <w:r>
        <w:t>:</w:t>
      </w:r>
      <w:r w:rsidRPr="00BD2AE3">
        <w:t xml:space="preserve"> </w:t>
      </w:r>
      <w:r w:rsidRPr="0023063F">
        <w:t xml:space="preserve">Mapping of </w:t>
      </w:r>
      <w:r w:rsidR="00654BBE">
        <w:t>Maritime Sector</w:t>
      </w:r>
      <w:r w:rsidRPr="0023063F">
        <w:t xml:space="preserve"> activities: </w:t>
      </w:r>
      <w:r>
        <w:t>shipping</w:t>
      </w:r>
      <w:r w:rsidRPr="0023063F">
        <w:t xml:space="preserve"> industries</w:t>
      </w:r>
    </w:p>
    <w:tbl>
      <w:tblPr>
        <w:tblW w:w="9276" w:type="dxa"/>
        <w:tblInd w:w="-10" w:type="dxa"/>
        <w:tblLook w:val="04A0" w:firstRow="1" w:lastRow="0" w:firstColumn="1" w:lastColumn="0" w:noHBand="0" w:noVBand="1"/>
      </w:tblPr>
      <w:tblGrid>
        <w:gridCol w:w="1418"/>
        <w:gridCol w:w="2410"/>
        <w:gridCol w:w="3969"/>
        <w:gridCol w:w="1479"/>
      </w:tblGrid>
      <w:tr w:rsidR="00BD2AE3" w:rsidRPr="005A4287" w14:paraId="7DE05919" w14:textId="77777777" w:rsidTr="00071DC7">
        <w:trPr>
          <w:trHeight w:val="301"/>
        </w:trPr>
        <w:tc>
          <w:tcPr>
            <w:tcW w:w="1418"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23A55B1"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INDUSTRY</w:t>
            </w:r>
          </w:p>
        </w:tc>
        <w:tc>
          <w:tcPr>
            <w:tcW w:w="2410"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32F6208C"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ACTIVITY</w:t>
            </w:r>
          </w:p>
        </w:tc>
        <w:tc>
          <w:tcPr>
            <w:tcW w:w="396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274B6C02"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MAPPING</w:t>
            </w:r>
          </w:p>
        </w:tc>
        <w:tc>
          <w:tcPr>
            <w:tcW w:w="1479"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137B57B4" w14:textId="77777777" w:rsidR="00BD2AE3" w:rsidRPr="005A4287" w:rsidRDefault="00BD2AE3" w:rsidP="00071DC7">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SOURCE(S) USED</w:t>
            </w:r>
          </w:p>
        </w:tc>
      </w:tr>
      <w:tr w:rsidR="005F04B5" w:rsidRPr="005A4287" w14:paraId="5D89A202" w14:textId="77777777" w:rsidTr="00071DC7">
        <w:trPr>
          <w:trHeight w:val="785"/>
        </w:trPr>
        <w:tc>
          <w:tcPr>
            <w:tcW w:w="1418" w:type="dxa"/>
            <w:vMerge w:val="restart"/>
            <w:tcBorders>
              <w:top w:val="nil"/>
              <w:left w:val="single" w:sz="8" w:space="0" w:color="FFFFFF"/>
              <w:bottom w:val="single" w:sz="12" w:space="0" w:color="FFFFFF"/>
              <w:right w:val="single" w:sz="12" w:space="0" w:color="FFFFFF"/>
            </w:tcBorders>
            <w:shd w:val="clear" w:color="000000" w:fill="008C9B"/>
            <w:vAlign w:val="center"/>
            <w:hideMark/>
          </w:tcPr>
          <w:p w14:paraId="22C70394" w14:textId="77777777" w:rsidR="005F04B5" w:rsidRPr="005A4287" w:rsidRDefault="005F04B5" w:rsidP="005F04B5">
            <w:pPr>
              <w:spacing w:after="0"/>
              <w:jc w:val="center"/>
              <w:rPr>
                <w:rFonts w:ascii="Calibri" w:eastAsia="Times New Roman" w:hAnsi="Calibri"/>
                <w:b/>
                <w:bCs/>
                <w:color w:val="FFFFFF"/>
                <w:sz w:val="20"/>
                <w:lang w:eastAsia="en-GB"/>
              </w:rPr>
            </w:pPr>
            <w:r w:rsidRPr="005A4287">
              <w:rPr>
                <w:rFonts w:ascii="Calibri" w:eastAsia="Times New Roman" w:hAnsi="Calibri"/>
                <w:b/>
                <w:bCs/>
                <w:color w:val="FFFFFF"/>
                <w:sz w:val="20"/>
                <w:lang w:eastAsia="en-GB"/>
              </w:rPr>
              <w:t>SHIPPING</w:t>
            </w:r>
          </w:p>
        </w:tc>
        <w:tc>
          <w:tcPr>
            <w:tcW w:w="2410" w:type="dxa"/>
            <w:tcBorders>
              <w:top w:val="nil"/>
              <w:left w:val="nil"/>
              <w:bottom w:val="single" w:sz="8" w:space="0" w:color="FFFFFF"/>
              <w:right w:val="single" w:sz="8" w:space="0" w:color="FFFFFF"/>
            </w:tcBorders>
            <w:shd w:val="clear" w:color="000000" w:fill="E7EEEF"/>
            <w:vAlign w:val="center"/>
            <w:hideMark/>
          </w:tcPr>
          <w:p w14:paraId="47E10308" w14:textId="000ABC15"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International passenger transport (cruise and ferry)</w:t>
            </w:r>
          </w:p>
        </w:tc>
        <w:tc>
          <w:tcPr>
            <w:tcW w:w="3969" w:type="dxa"/>
            <w:tcBorders>
              <w:top w:val="nil"/>
              <w:left w:val="nil"/>
              <w:bottom w:val="single" w:sz="8" w:space="0" w:color="FFFFFF"/>
              <w:right w:val="single" w:sz="8" w:space="0" w:color="FFFFFF"/>
            </w:tcBorders>
            <w:shd w:val="clear" w:color="000000" w:fill="E7EEEF"/>
            <w:vAlign w:val="center"/>
            <w:hideMark/>
          </w:tcPr>
          <w:p w14:paraId="1E3E2193"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50100, "Sea and Coastal Passenger Water Transport".</w:t>
            </w:r>
          </w:p>
        </w:tc>
        <w:tc>
          <w:tcPr>
            <w:tcW w:w="1479" w:type="dxa"/>
            <w:tcBorders>
              <w:top w:val="nil"/>
              <w:left w:val="nil"/>
              <w:bottom w:val="single" w:sz="8" w:space="0" w:color="FFFFFF"/>
              <w:right w:val="single" w:sz="8" w:space="0" w:color="FFFFFF"/>
            </w:tcBorders>
            <w:shd w:val="clear" w:color="000000" w:fill="E7EEEF"/>
            <w:vAlign w:val="center"/>
            <w:hideMark/>
          </w:tcPr>
          <w:p w14:paraId="509ACBCF"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77CA764D" w14:textId="77777777" w:rsidTr="00071DC7">
        <w:trPr>
          <w:trHeight w:val="668"/>
        </w:trPr>
        <w:tc>
          <w:tcPr>
            <w:tcW w:w="1418" w:type="dxa"/>
            <w:vMerge/>
            <w:tcBorders>
              <w:top w:val="nil"/>
              <w:left w:val="single" w:sz="8" w:space="0" w:color="FFFFFF"/>
              <w:bottom w:val="single" w:sz="12" w:space="0" w:color="FFFFFF"/>
              <w:right w:val="single" w:sz="12" w:space="0" w:color="FFFFFF"/>
            </w:tcBorders>
            <w:vAlign w:val="center"/>
            <w:hideMark/>
          </w:tcPr>
          <w:p w14:paraId="04191074"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5098F0EE" w14:textId="024B199C"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Domestic and inland waterway passenger transport</w:t>
            </w:r>
          </w:p>
        </w:tc>
        <w:tc>
          <w:tcPr>
            <w:tcW w:w="3969" w:type="dxa"/>
            <w:tcBorders>
              <w:top w:val="nil"/>
              <w:left w:val="nil"/>
              <w:bottom w:val="single" w:sz="8" w:space="0" w:color="FFFFFF"/>
              <w:right w:val="single" w:sz="8" w:space="0" w:color="FFFFFF"/>
            </w:tcBorders>
            <w:shd w:val="clear" w:color="000000" w:fill="D0CECE"/>
            <w:vAlign w:val="center"/>
            <w:hideMark/>
          </w:tcPr>
          <w:p w14:paraId="165FBC8C"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50300, "Inland Passenger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71D0F16A"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7E972FE8" w14:textId="77777777" w:rsidTr="00071DC7">
        <w:trPr>
          <w:trHeight w:val="1047"/>
        </w:trPr>
        <w:tc>
          <w:tcPr>
            <w:tcW w:w="1418" w:type="dxa"/>
            <w:vMerge/>
            <w:tcBorders>
              <w:top w:val="nil"/>
              <w:left w:val="single" w:sz="8" w:space="0" w:color="FFFFFF"/>
              <w:bottom w:val="single" w:sz="12" w:space="0" w:color="FFFFFF"/>
              <w:right w:val="single" w:sz="12" w:space="0" w:color="FFFFFF"/>
            </w:tcBorders>
            <w:vAlign w:val="center"/>
            <w:hideMark/>
          </w:tcPr>
          <w:p w14:paraId="2D295F7C"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2740E719" w14:textId="352A4428"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International freight transport (bulk, container, gas and tanker)</w:t>
            </w:r>
          </w:p>
        </w:tc>
        <w:tc>
          <w:tcPr>
            <w:tcW w:w="3969" w:type="dxa"/>
            <w:tcBorders>
              <w:top w:val="nil"/>
              <w:left w:val="nil"/>
              <w:bottom w:val="single" w:sz="8" w:space="0" w:color="FFFFFF"/>
              <w:right w:val="single" w:sz="8" w:space="0" w:color="FFFFFF"/>
            </w:tcBorders>
            <w:shd w:val="clear" w:color="000000" w:fill="E7EEEF"/>
            <w:vAlign w:val="center"/>
            <w:hideMark/>
          </w:tcPr>
          <w:p w14:paraId="7FEE75C2"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codes 50200 and 77342, "Sea and coastal freight water transport", and "Renting and Leasing of Freight Water Transport Equipment".</w:t>
            </w:r>
          </w:p>
        </w:tc>
        <w:tc>
          <w:tcPr>
            <w:tcW w:w="1479" w:type="dxa"/>
            <w:tcBorders>
              <w:top w:val="nil"/>
              <w:left w:val="nil"/>
              <w:bottom w:val="single" w:sz="8" w:space="0" w:color="FFFFFF"/>
              <w:right w:val="single" w:sz="8" w:space="0" w:color="FFFFFF"/>
            </w:tcBorders>
            <w:shd w:val="clear" w:color="000000" w:fill="E7EEEF"/>
            <w:vAlign w:val="center"/>
            <w:hideMark/>
          </w:tcPr>
          <w:p w14:paraId="7A287ED8"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1CF793C8" w14:textId="77777777" w:rsidTr="00071DC7">
        <w:trPr>
          <w:trHeight w:val="693"/>
        </w:trPr>
        <w:tc>
          <w:tcPr>
            <w:tcW w:w="1418" w:type="dxa"/>
            <w:vMerge/>
            <w:tcBorders>
              <w:top w:val="nil"/>
              <w:left w:val="single" w:sz="8" w:space="0" w:color="FFFFFF"/>
              <w:bottom w:val="single" w:sz="12" w:space="0" w:color="FFFFFF"/>
              <w:right w:val="single" w:sz="12" w:space="0" w:color="FFFFFF"/>
            </w:tcBorders>
            <w:vAlign w:val="center"/>
            <w:hideMark/>
          </w:tcPr>
          <w:p w14:paraId="0915D8D6"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D0CECE"/>
            <w:vAlign w:val="center"/>
            <w:hideMark/>
          </w:tcPr>
          <w:p w14:paraId="262C3F78" w14:textId="68F7263F" w:rsidR="005F04B5" w:rsidRPr="005F04B5" w:rsidRDefault="005F04B5" w:rsidP="005F04B5">
            <w:pPr>
              <w:spacing w:after="0"/>
              <w:jc w:val="center"/>
              <w:rPr>
                <w:rFonts w:ascii="Calibri" w:eastAsia="Times New Roman" w:hAnsi="Calibri"/>
                <w:bCs/>
                <w:color w:val="000000"/>
                <w:sz w:val="18"/>
                <w:lang w:eastAsia="en-GB"/>
              </w:rPr>
            </w:pPr>
            <w:r w:rsidRPr="005F04B5">
              <w:rPr>
                <w:rFonts w:ascii="Calibri" w:eastAsia="Times New Roman" w:hAnsi="Calibri"/>
                <w:bCs/>
                <w:color w:val="000000"/>
                <w:sz w:val="18"/>
                <w:lang w:eastAsia="en-GB"/>
              </w:rPr>
              <w:t>Domestic and inland waterway freight transport</w:t>
            </w:r>
          </w:p>
        </w:tc>
        <w:tc>
          <w:tcPr>
            <w:tcW w:w="3969" w:type="dxa"/>
            <w:tcBorders>
              <w:top w:val="nil"/>
              <w:left w:val="nil"/>
              <w:bottom w:val="single" w:sz="8" w:space="0" w:color="FFFFFF"/>
              <w:right w:val="single" w:sz="8" w:space="0" w:color="FFFFFF"/>
            </w:tcBorders>
            <w:shd w:val="clear" w:color="000000" w:fill="D0CECE"/>
            <w:vAlign w:val="center"/>
            <w:hideMark/>
          </w:tcPr>
          <w:p w14:paraId="0A8B9B24"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through SIC code 50400, "Inland Freight Water Transport".</w:t>
            </w:r>
          </w:p>
        </w:tc>
        <w:tc>
          <w:tcPr>
            <w:tcW w:w="1479" w:type="dxa"/>
            <w:tcBorders>
              <w:top w:val="nil"/>
              <w:left w:val="nil"/>
              <w:bottom w:val="single" w:sz="8" w:space="0" w:color="FFFFFF"/>
              <w:right w:val="single" w:sz="8" w:space="0" w:color="FFFFFF"/>
            </w:tcBorders>
            <w:shd w:val="clear" w:color="000000" w:fill="D0CECE"/>
            <w:vAlign w:val="center"/>
            <w:hideMark/>
          </w:tcPr>
          <w:p w14:paraId="28CB5E90"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FAME, BRES</w:t>
            </w:r>
          </w:p>
        </w:tc>
      </w:tr>
      <w:tr w:rsidR="005F04B5" w:rsidRPr="005A4287" w14:paraId="2EDF7E15" w14:textId="77777777" w:rsidTr="00071DC7">
        <w:trPr>
          <w:trHeight w:val="833"/>
        </w:trPr>
        <w:tc>
          <w:tcPr>
            <w:tcW w:w="1418" w:type="dxa"/>
            <w:vMerge/>
            <w:tcBorders>
              <w:top w:val="nil"/>
              <w:left w:val="single" w:sz="8" w:space="0" w:color="FFFFFF"/>
              <w:bottom w:val="single" w:sz="12" w:space="0" w:color="FFFFFF"/>
              <w:right w:val="single" w:sz="12" w:space="0" w:color="FFFFFF"/>
            </w:tcBorders>
            <w:vAlign w:val="center"/>
            <w:hideMark/>
          </w:tcPr>
          <w:p w14:paraId="60ED0E7C" w14:textId="77777777" w:rsidR="005F04B5" w:rsidRPr="005A4287" w:rsidRDefault="005F04B5" w:rsidP="005F04B5">
            <w:pPr>
              <w:spacing w:after="0"/>
              <w:rPr>
                <w:rFonts w:ascii="Calibri" w:eastAsia="Times New Roman" w:hAnsi="Calibri"/>
                <w:b/>
                <w:bCs/>
                <w:color w:val="FFFFFF"/>
                <w:sz w:val="20"/>
                <w:lang w:eastAsia="en-GB"/>
              </w:rPr>
            </w:pPr>
          </w:p>
        </w:tc>
        <w:tc>
          <w:tcPr>
            <w:tcW w:w="2410" w:type="dxa"/>
            <w:tcBorders>
              <w:top w:val="nil"/>
              <w:left w:val="nil"/>
              <w:bottom w:val="single" w:sz="8" w:space="0" w:color="FFFFFF"/>
              <w:right w:val="single" w:sz="8" w:space="0" w:color="FFFFFF"/>
            </w:tcBorders>
            <w:shd w:val="clear" w:color="000000" w:fill="E7EEEF"/>
            <w:vAlign w:val="center"/>
            <w:hideMark/>
          </w:tcPr>
          <w:p w14:paraId="0151990C" w14:textId="7E103574" w:rsidR="005F04B5" w:rsidRPr="005F04B5" w:rsidRDefault="005F04B5" w:rsidP="005F04B5">
            <w:pPr>
              <w:spacing w:after="0"/>
              <w:jc w:val="center"/>
              <w:rPr>
                <w:rFonts w:ascii="Calibri" w:eastAsia="Times New Roman" w:hAnsi="Calibri"/>
                <w:color w:val="000000"/>
                <w:sz w:val="18"/>
                <w:lang w:eastAsia="en-GB"/>
              </w:rPr>
            </w:pPr>
            <w:r w:rsidRPr="005F04B5">
              <w:rPr>
                <w:rFonts w:ascii="Calibri" w:eastAsia="Times New Roman" w:hAnsi="Calibri"/>
                <w:color w:val="000000"/>
                <w:sz w:val="18"/>
                <w:lang w:eastAsia="en-GB"/>
              </w:rPr>
              <w:t>Other shipping activity</w:t>
            </w:r>
          </w:p>
        </w:tc>
        <w:tc>
          <w:tcPr>
            <w:tcW w:w="3969" w:type="dxa"/>
            <w:tcBorders>
              <w:top w:val="nil"/>
              <w:left w:val="nil"/>
              <w:bottom w:val="single" w:sz="8" w:space="0" w:color="FFFFFF"/>
              <w:right w:val="single" w:sz="8" w:space="0" w:color="FFFFFF"/>
            </w:tcBorders>
            <w:shd w:val="clear" w:color="000000" w:fill="E7EEEF"/>
            <w:vAlign w:val="center"/>
            <w:hideMark/>
          </w:tcPr>
          <w:p w14:paraId="32690759"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Identified and quantified through UKCoS statistics for shipping-related employment</w:t>
            </w:r>
          </w:p>
        </w:tc>
        <w:tc>
          <w:tcPr>
            <w:tcW w:w="1479" w:type="dxa"/>
            <w:tcBorders>
              <w:top w:val="nil"/>
              <w:left w:val="nil"/>
              <w:bottom w:val="single" w:sz="8" w:space="0" w:color="FFFFFF"/>
              <w:right w:val="single" w:sz="8" w:space="0" w:color="FFFFFF"/>
            </w:tcBorders>
            <w:shd w:val="clear" w:color="000000" w:fill="E7EEEF"/>
            <w:vAlign w:val="center"/>
            <w:hideMark/>
          </w:tcPr>
          <w:p w14:paraId="024BBEB3" w14:textId="77777777" w:rsidR="005F04B5" w:rsidRPr="001D2C60" w:rsidRDefault="005F04B5" w:rsidP="005F04B5">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UKCoS Manpower Survey, FAME</w:t>
            </w:r>
          </w:p>
        </w:tc>
      </w:tr>
    </w:tbl>
    <w:p w14:paraId="3FF30138" w14:textId="77777777" w:rsidR="00BD2AE3" w:rsidRDefault="00BD2AE3" w:rsidP="005F04B5">
      <w:pPr>
        <w:keepNext/>
        <w:keepLines/>
        <w:spacing w:before="60" w:after="0"/>
        <w:ind w:left="5760" w:firstLine="720"/>
        <w:rPr>
          <w:i/>
          <w:sz w:val="18"/>
        </w:rPr>
      </w:pPr>
      <w:r>
        <w:rPr>
          <w:i/>
          <w:sz w:val="18"/>
        </w:rPr>
        <w:t>Source: Maritime UK, Cebr analysis</w:t>
      </w:r>
    </w:p>
    <w:p w14:paraId="44D87AFC" w14:textId="77777777" w:rsidR="00BD2AE3" w:rsidRDefault="00BD2AE3" w:rsidP="00BD2AE3">
      <w:pPr>
        <w:pStyle w:val="ListBullet"/>
        <w:numPr>
          <w:ilvl w:val="0"/>
          <w:numId w:val="0"/>
        </w:numPr>
        <w:spacing w:after="0"/>
        <w:ind w:left="360" w:hanging="360"/>
        <w:rPr>
          <w:rFonts w:ascii="Calibri" w:eastAsia="Microsoft JhengHei" w:hAnsi="Calibri"/>
          <w:szCs w:val="22"/>
        </w:rPr>
      </w:pPr>
    </w:p>
    <w:p w14:paraId="136AFCEA" w14:textId="143AF91A" w:rsidR="00BD2AE3" w:rsidRDefault="001C73C3"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For the</w:t>
      </w:r>
      <w:r w:rsidR="001C07BD">
        <w:rPr>
          <w:rFonts w:ascii="Calibri" w:eastAsia="Microsoft JhengHei" w:hAnsi="Calibri"/>
          <w:szCs w:val="22"/>
        </w:rPr>
        <w:t xml:space="preserve"> majority of p</w:t>
      </w:r>
      <w:r>
        <w:rPr>
          <w:rFonts w:ascii="Calibri" w:eastAsia="Microsoft JhengHei" w:hAnsi="Calibri"/>
          <w:szCs w:val="22"/>
        </w:rPr>
        <w:t>orts</w:t>
      </w:r>
      <w:r w:rsidR="001C07BD">
        <w:rPr>
          <w:rFonts w:ascii="Calibri" w:eastAsia="Microsoft JhengHei" w:hAnsi="Calibri"/>
          <w:szCs w:val="22"/>
        </w:rPr>
        <w:t xml:space="preserve"> and s</w:t>
      </w:r>
      <w:r w:rsidR="00333ADD">
        <w:rPr>
          <w:rFonts w:ascii="Calibri" w:eastAsia="Microsoft JhengHei" w:hAnsi="Calibri"/>
          <w:szCs w:val="22"/>
        </w:rPr>
        <w:t>hipping</w:t>
      </w:r>
      <w:r>
        <w:rPr>
          <w:rFonts w:ascii="Calibri" w:eastAsia="Microsoft JhengHei" w:hAnsi="Calibri"/>
          <w:szCs w:val="22"/>
        </w:rPr>
        <w:t xml:space="preserve"> industry activities, business demography data taken from the FAME database has been used to generate UK-level estimates for the direct economic impacts of each activity. Data taken from the ONS Business Register of Employment Survey (BRES) has then been used to disaggregate national level data at </w:t>
      </w:r>
      <w:r w:rsidR="00AC5E49">
        <w:rPr>
          <w:rFonts w:ascii="Calibri" w:eastAsia="Microsoft JhengHei" w:hAnsi="Calibri"/>
          <w:szCs w:val="22"/>
        </w:rPr>
        <w:t>Wales</w:t>
      </w:r>
      <w:r>
        <w:rPr>
          <w:rFonts w:ascii="Calibri" w:eastAsia="Microsoft JhengHei" w:hAnsi="Calibri"/>
          <w:szCs w:val="22"/>
        </w:rPr>
        <w:t xml:space="preserve">-level. In the case of activities for the Ports industry, only activity taking place in council wards in </w:t>
      </w:r>
      <w:r w:rsidR="00AC5E49">
        <w:rPr>
          <w:rFonts w:ascii="Calibri" w:eastAsia="Microsoft JhengHei" w:hAnsi="Calibri"/>
          <w:szCs w:val="22"/>
        </w:rPr>
        <w:t>Wales</w:t>
      </w:r>
      <w:r>
        <w:rPr>
          <w:rFonts w:ascii="Calibri" w:eastAsia="Microsoft JhengHei" w:hAnsi="Calibri"/>
          <w:szCs w:val="22"/>
        </w:rPr>
        <w:t xml:space="preserve"> which contain a major or minor UK port has been captured, on the assumption that warehousing and storage and other activities taking place in these locations relate to the associated port.</w:t>
      </w:r>
    </w:p>
    <w:p w14:paraId="4CE0923A" w14:textId="77777777" w:rsidR="00BD2AE3" w:rsidRPr="00CE5C73" w:rsidRDefault="00BD2AE3" w:rsidP="00BD2AE3">
      <w:pPr>
        <w:pStyle w:val="Heading3"/>
        <w:tabs>
          <w:tab w:val="left" w:pos="7351"/>
        </w:tabs>
      </w:pPr>
      <w:r w:rsidRPr="00CE5C73">
        <w:t xml:space="preserve">The </w:t>
      </w:r>
      <w:r>
        <w:t xml:space="preserve">leisure marine and marine engineering and scientific industries </w:t>
      </w:r>
      <w:r>
        <w:tab/>
      </w:r>
    </w:p>
    <w:p w14:paraId="6B2497E3" w14:textId="47E68BD6" w:rsidR="00BD2AE3" w:rsidRPr="008D0392" w:rsidRDefault="00BD2AE3" w:rsidP="008D0392">
      <w:pPr>
        <w:pStyle w:val="ListBullet"/>
        <w:numPr>
          <w:ilvl w:val="0"/>
          <w:numId w:val="0"/>
        </w:numPr>
        <w:spacing w:after="120"/>
      </w:pPr>
      <w:r>
        <w:rPr>
          <w:rFonts w:ascii="Calibri" w:eastAsia="Microsoft JhengHei" w:hAnsi="Calibri"/>
          <w:szCs w:val="22"/>
        </w:rPr>
        <w:fldChar w:fldCharType="begin"/>
      </w:r>
      <w:r>
        <w:rPr>
          <w:rFonts w:ascii="Calibri" w:eastAsia="Microsoft JhengHei" w:hAnsi="Calibri"/>
          <w:szCs w:val="22"/>
        </w:rPr>
        <w:instrText xml:space="preserve"> REF _Ref16685090 \h </w:instrText>
      </w:r>
      <w:r w:rsidR="001C07BD">
        <w:rPr>
          <w:rFonts w:ascii="Calibri" w:eastAsia="Microsoft JhengHei" w:hAnsi="Calibri"/>
          <w:szCs w:val="22"/>
        </w:rPr>
        <w:instrText xml:space="preserve"> \* MERGEFORMAT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3</w:t>
      </w:r>
      <w:r>
        <w:rPr>
          <w:rFonts w:ascii="Calibri" w:eastAsia="Microsoft JhengHei" w:hAnsi="Calibri"/>
          <w:szCs w:val="22"/>
        </w:rPr>
        <w:fldChar w:fldCharType="end"/>
      </w:r>
      <w:r w:rsidR="008D0392">
        <w:rPr>
          <w:rFonts w:ascii="Calibri" w:eastAsia="Microsoft JhengHei" w:hAnsi="Calibri"/>
          <w:szCs w:val="22"/>
        </w:rPr>
        <w:t xml:space="preserve"> and</w:t>
      </w:r>
      <w:r>
        <w:rPr>
          <w:rFonts w:ascii="Calibri" w:eastAsia="Microsoft JhengHei" w:hAnsi="Calibri"/>
          <w:szCs w:val="22"/>
        </w:rPr>
        <w:t xml:space="preserve"> </w:t>
      </w:r>
      <w:r w:rsidRPr="008D0392">
        <w:rPr>
          <w:rFonts w:ascii="Calibri" w:eastAsia="Microsoft JhengHei" w:hAnsi="Calibri"/>
          <w:szCs w:val="22"/>
        </w:rPr>
        <w:fldChar w:fldCharType="begin"/>
      </w:r>
      <w:r>
        <w:rPr>
          <w:rFonts w:ascii="Calibri" w:eastAsia="Microsoft JhengHei" w:hAnsi="Calibri"/>
          <w:szCs w:val="22"/>
        </w:rPr>
        <w:instrText xml:space="preserve"> REF _Ref16685116 \h </w:instrText>
      </w:r>
      <w:r w:rsidR="001C07BD">
        <w:rPr>
          <w:rFonts w:ascii="Calibri" w:eastAsia="Microsoft JhengHei" w:hAnsi="Calibri"/>
          <w:szCs w:val="22"/>
        </w:rPr>
        <w:instrText xml:space="preserve"> \* MERGEFORMAT </w:instrText>
      </w:r>
      <w:r w:rsidRPr="008D0392">
        <w:rPr>
          <w:rFonts w:ascii="Calibri" w:eastAsia="Microsoft JhengHei" w:hAnsi="Calibri"/>
          <w:szCs w:val="22"/>
        </w:rPr>
      </w:r>
      <w:r w:rsidRPr="008D0392">
        <w:rPr>
          <w:rFonts w:ascii="Calibri" w:eastAsia="Microsoft JhengHei" w:hAnsi="Calibri"/>
          <w:szCs w:val="22"/>
        </w:rPr>
        <w:fldChar w:fldCharType="separate"/>
      </w:r>
      <w:r w:rsidR="00963862">
        <w:t>Table</w:t>
      </w:r>
      <w:r w:rsidR="00963862">
        <w:rPr>
          <w:noProof/>
        </w:rPr>
        <w:t xml:space="preserve"> 4</w:t>
      </w:r>
      <w:r w:rsidRPr="008D0392">
        <w:rPr>
          <w:rFonts w:ascii="Calibri" w:eastAsia="Microsoft JhengHei" w:hAnsi="Calibri"/>
          <w:szCs w:val="22"/>
        </w:rPr>
        <w:fldChar w:fldCharType="end"/>
      </w:r>
      <w:r w:rsidRPr="008D0392">
        <w:rPr>
          <w:rFonts w:ascii="Calibri" w:eastAsia="Microsoft JhengHei" w:hAnsi="Calibri"/>
          <w:szCs w:val="22"/>
        </w:rPr>
        <w:t xml:space="preserve"> below shows how activities for the leisure ma</w:t>
      </w:r>
      <w:r w:rsidR="001C07BD" w:rsidRPr="008D0392">
        <w:rPr>
          <w:rFonts w:ascii="Calibri" w:eastAsia="Microsoft JhengHei" w:hAnsi="Calibri"/>
          <w:szCs w:val="22"/>
        </w:rPr>
        <w:t xml:space="preserve">rine and marine engineering and </w:t>
      </w:r>
      <w:r w:rsidRPr="008D0392">
        <w:rPr>
          <w:rFonts w:ascii="Calibri" w:eastAsia="Microsoft JhengHei" w:hAnsi="Calibri"/>
          <w:szCs w:val="22"/>
        </w:rPr>
        <w:t>scientific industries have been identified, and the data sources used to capture and quantify the</w:t>
      </w:r>
      <w:r w:rsidR="001C07BD" w:rsidRPr="008D0392">
        <w:rPr>
          <w:rFonts w:ascii="Calibri" w:eastAsia="Microsoft JhengHei" w:hAnsi="Calibri"/>
          <w:szCs w:val="22"/>
        </w:rPr>
        <w:t xml:space="preserve"> associated economic activity. </w:t>
      </w:r>
    </w:p>
    <w:p w14:paraId="588E545B" w14:textId="77777777" w:rsidR="008D0671" w:rsidRDefault="008D0671" w:rsidP="00BD2AE3">
      <w:pPr>
        <w:pStyle w:val="Caption"/>
      </w:pPr>
      <w:bookmarkStart w:id="25" w:name="_Ref16685090"/>
    </w:p>
    <w:p w14:paraId="67470551" w14:textId="77777777" w:rsidR="008D0671" w:rsidRDefault="008D0671" w:rsidP="00BD2AE3">
      <w:pPr>
        <w:pStyle w:val="Caption"/>
      </w:pPr>
    </w:p>
    <w:p w14:paraId="2AA3E199" w14:textId="77777777" w:rsidR="008D0671" w:rsidRDefault="008D0671" w:rsidP="00BD2AE3">
      <w:pPr>
        <w:pStyle w:val="Caption"/>
      </w:pPr>
    </w:p>
    <w:p w14:paraId="6C127702" w14:textId="77777777" w:rsidR="008D0671" w:rsidRDefault="008D0671" w:rsidP="00BD2AE3">
      <w:pPr>
        <w:pStyle w:val="Caption"/>
      </w:pPr>
    </w:p>
    <w:p w14:paraId="1B6C6C0F" w14:textId="77777777" w:rsidR="008D0671" w:rsidRDefault="008D0671" w:rsidP="00BD2AE3">
      <w:pPr>
        <w:pStyle w:val="Caption"/>
      </w:pPr>
    </w:p>
    <w:p w14:paraId="297A3752" w14:textId="77777777" w:rsidR="008D0671" w:rsidRDefault="008D0671" w:rsidP="00BD2AE3">
      <w:pPr>
        <w:pStyle w:val="Caption"/>
      </w:pPr>
    </w:p>
    <w:p w14:paraId="50A8FD49" w14:textId="77777777" w:rsidR="008D0671" w:rsidRDefault="008D0671" w:rsidP="00BD2AE3">
      <w:pPr>
        <w:pStyle w:val="Caption"/>
      </w:pPr>
    </w:p>
    <w:p w14:paraId="7E09B1B5" w14:textId="77777777" w:rsidR="008D0671" w:rsidRDefault="008D0671" w:rsidP="00BD2AE3">
      <w:pPr>
        <w:pStyle w:val="Caption"/>
      </w:pPr>
    </w:p>
    <w:p w14:paraId="3EF855C4" w14:textId="77777777" w:rsidR="005F04B5" w:rsidRPr="005F04B5" w:rsidRDefault="005F04B5" w:rsidP="005F04B5"/>
    <w:p w14:paraId="54F364F0" w14:textId="77777777" w:rsidR="008D0671" w:rsidRDefault="008D0671" w:rsidP="00BD2AE3">
      <w:pPr>
        <w:pStyle w:val="Caption"/>
      </w:pPr>
    </w:p>
    <w:p w14:paraId="75E3DF37" w14:textId="089ED74A" w:rsidR="00BD2AE3" w:rsidRDefault="00BD2AE3" w:rsidP="00BD2AE3">
      <w:pPr>
        <w:pStyle w:val="Caption"/>
      </w:pPr>
      <w:r>
        <w:lastRenderedPageBreak/>
        <w:t xml:space="preserve">Table </w:t>
      </w:r>
      <w:r>
        <w:rPr>
          <w:noProof/>
        </w:rPr>
        <w:fldChar w:fldCharType="begin"/>
      </w:r>
      <w:r>
        <w:rPr>
          <w:noProof/>
        </w:rPr>
        <w:instrText xml:space="preserve"> SEQ Table \* ARABIC </w:instrText>
      </w:r>
      <w:r>
        <w:rPr>
          <w:noProof/>
        </w:rPr>
        <w:fldChar w:fldCharType="separate"/>
      </w:r>
      <w:r w:rsidR="00963862">
        <w:rPr>
          <w:noProof/>
        </w:rPr>
        <w:t>3</w:t>
      </w:r>
      <w:r>
        <w:rPr>
          <w:noProof/>
        </w:rPr>
        <w:fldChar w:fldCharType="end"/>
      </w:r>
      <w:bookmarkEnd w:id="25"/>
      <w:r>
        <w:t xml:space="preserve">: Mapping of </w:t>
      </w:r>
      <w:r w:rsidR="00654BBE">
        <w:t>Maritime Sector</w:t>
      </w:r>
      <w:r>
        <w:t xml:space="preserve"> activities: marine engineering and scientific industries </w:t>
      </w:r>
    </w:p>
    <w:tbl>
      <w:tblPr>
        <w:tblW w:w="9532" w:type="dxa"/>
        <w:tblInd w:w="-10" w:type="dxa"/>
        <w:tblLook w:val="04A0" w:firstRow="1" w:lastRow="0" w:firstColumn="1" w:lastColumn="0" w:noHBand="0" w:noVBand="1"/>
      </w:tblPr>
      <w:tblGrid>
        <w:gridCol w:w="1294"/>
        <w:gridCol w:w="1680"/>
        <w:gridCol w:w="5083"/>
        <w:gridCol w:w="1475"/>
      </w:tblGrid>
      <w:tr w:rsidR="00BD2AE3" w:rsidRPr="009B31F5" w14:paraId="22553073" w14:textId="77777777" w:rsidTr="00071DC7">
        <w:trPr>
          <w:trHeight w:val="142"/>
        </w:trPr>
        <w:tc>
          <w:tcPr>
            <w:tcW w:w="1271"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41F735A5"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3" w:type="dxa"/>
            <w:tcBorders>
              <w:top w:val="single" w:sz="8" w:space="0" w:color="FFFFFF"/>
              <w:left w:val="nil"/>
              <w:bottom w:val="single" w:sz="12" w:space="0" w:color="FFFFFF"/>
              <w:right w:val="single" w:sz="12" w:space="0" w:color="FFFFFF"/>
            </w:tcBorders>
            <w:shd w:val="clear" w:color="000000" w:fill="008C9B"/>
            <w:vAlign w:val="center"/>
            <w:hideMark/>
          </w:tcPr>
          <w:p w14:paraId="43D1CDBD"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01" w:type="dxa"/>
            <w:tcBorders>
              <w:top w:val="single" w:sz="8" w:space="0" w:color="FFFFFF"/>
              <w:left w:val="nil"/>
              <w:bottom w:val="single" w:sz="12" w:space="0" w:color="FFFFFF"/>
              <w:right w:val="single" w:sz="12" w:space="0" w:color="FFFFFF"/>
            </w:tcBorders>
            <w:shd w:val="clear" w:color="000000" w:fill="008C9B"/>
            <w:vAlign w:val="center"/>
            <w:hideMark/>
          </w:tcPr>
          <w:p w14:paraId="62CE9A7C"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7" w:type="dxa"/>
            <w:tcBorders>
              <w:top w:val="single" w:sz="8" w:space="0" w:color="FFFFFF"/>
              <w:left w:val="nil"/>
              <w:bottom w:val="single" w:sz="12" w:space="0" w:color="FFFFFF"/>
              <w:right w:val="single" w:sz="12" w:space="0" w:color="FFFFFF"/>
            </w:tcBorders>
            <w:shd w:val="clear" w:color="000000" w:fill="008C9B"/>
            <w:vAlign w:val="center"/>
            <w:hideMark/>
          </w:tcPr>
          <w:p w14:paraId="2B09642F"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BD2AE3" w:rsidRPr="00477C94" w14:paraId="5FF5F536" w14:textId="77777777" w:rsidTr="00071DC7">
        <w:trPr>
          <w:trHeight w:val="908"/>
        </w:trPr>
        <w:tc>
          <w:tcPr>
            <w:tcW w:w="1271" w:type="dxa"/>
            <w:vMerge w:val="restart"/>
            <w:tcBorders>
              <w:top w:val="nil"/>
              <w:left w:val="single" w:sz="8" w:space="0" w:color="FFFFFF"/>
              <w:bottom w:val="nil"/>
              <w:right w:val="single" w:sz="12" w:space="0" w:color="FFFFFF"/>
            </w:tcBorders>
            <w:shd w:val="clear" w:color="000000" w:fill="008C9B"/>
            <w:vAlign w:val="center"/>
            <w:hideMark/>
          </w:tcPr>
          <w:p w14:paraId="3930694B" w14:textId="77777777" w:rsidR="00BD2AE3" w:rsidRPr="00E61FE9" w:rsidRDefault="00BD2AE3" w:rsidP="00071DC7">
            <w:pPr>
              <w:spacing w:after="0"/>
              <w:jc w:val="center"/>
              <w:rPr>
                <w:rFonts w:ascii="Calibri" w:eastAsia="Times New Roman" w:hAnsi="Calibri"/>
                <w:b/>
                <w:bCs/>
                <w:color w:val="FFFFFF"/>
                <w:szCs w:val="22"/>
                <w:lang w:eastAsia="en-GB"/>
              </w:rPr>
            </w:pPr>
            <w:r w:rsidRPr="009B31F5">
              <w:rPr>
                <w:rFonts w:ascii="Calibri" w:eastAsia="Times New Roman" w:hAnsi="Calibri"/>
                <w:b/>
                <w:bCs/>
                <w:color w:val="FFFFFF"/>
                <w:szCs w:val="22"/>
                <w:lang w:eastAsia="en-GB"/>
              </w:rPr>
              <w:t>Marine Engineering &amp; Scientific</w:t>
            </w:r>
            <w:r>
              <w:rPr>
                <w:rFonts w:ascii="Calibri" w:eastAsia="Times New Roman" w:hAnsi="Calibri"/>
                <w:b/>
                <w:bCs/>
                <w:color w:val="FFFFFF"/>
                <w:szCs w:val="22"/>
                <w:lang w:eastAsia="en-GB"/>
              </w:rPr>
              <w:t xml:space="preserve"> Industry</w:t>
            </w:r>
            <w:r w:rsidRPr="009B31F5">
              <w:rPr>
                <w:rFonts w:ascii="Calibri" w:eastAsia="Times New Roman" w:hAnsi="Calibri"/>
                <w:b/>
                <w:bCs/>
                <w:color w:val="FFFFFF"/>
                <w:szCs w:val="22"/>
                <w:lang w:eastAsia="en-GB"/>
              </w:rPr>
              <w:t xml:space="preserve"> </w:t>
            </w:r>
          </w:p>
        </w:tc>
        <w:tc>
          <w:tcPr>
            <w:tcW w:w="1683" w:type="dxa"/>
            <w:tcBorders>
              <w:top w:val="nil"/>
              <w:left w:val="nil"/>
              <w:bottom w:val="single" w:sz="8" w:space="0" w:color="FFFFFF"/>
              <w:right w:val="single" w:sz="8" w:space="0" w:color="FFFFFF"/>
            </w:tcBorders>
            <w:shd w:val="clear" w:color="000000" w:fill="E7EEEF"/>
            <w:vAlign w:val="center"/>
            <w:hideMark/>
          </w:tcPr>
          <w:p w14:paraId="114440F5"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Shipbuilding and Marine Engineering</w:t>
            </w:r>
          </w:p>
        </w:tc>
        <w:tc>
          <w:tcPr>
            <w:tcW w:w="5101" w:type="dxa"/>
            <w:tcBorders>
              <w:top w:val="nil"/>
              <w:left w:val="nil"/>
              <w:bottom w:val="single" w:sz="8" w:space="0" w:color="FFFFFF"/>
              <w:right w:val="single" w:sz="8" w:space="0" w:color="FFFFFF"/>
            </w:tcBorders>
            <w:shd w:val="clear" w:color="000000" w:fill="E7EEEF"/>
            <w:vAlign w:val="center"/>
            <w:hideMark/>
          </w:tcPr>
          <w:p w14:paraId="027CC143"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3011 ("Building of ships and floating structures") and 3315 (“Repair and maintenance of ships and boats”)</w:t>
            </w:r>
          </w:p>
        </w:tc>
        <w:tc>
          <w:tcPr>
            <w:tcW w:w="1477" w:type="dxa"/>
            <w:tcBorders>
              <w:top w:val="nil"/>
              <w:left w:val="nil"/>
              <w:bottom w:val="single" w:sz="8" w:space="0" w:color="FFFFFF"/>
              <w:right w:val="single" w:sz="8" w:space="0" w:color="FFFFFF"/>
            </w:tcBorders>
            <w:shd w:val="clear" w:color="000000" w:fill="E7EEEF"/>
            <w:vAlign w:val="center"/>
            <w:hideMark/>
          </w:tcPr>
          <w:p w14:paraId="070EDB0B"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ABS, BRES, FAME, Cebr Analysis</w:t>
            </w:r>
          </w:p>
        </w:tc>
      </w:tr>
      <w:tr w:rsidR="00BD2AE3" w:rsidRPr="00477C94" w14:paraId="1741D856" w14:textId="77777777" w:rsidTr="00071DC7">
        <w:trPr>
          <w:trHeight w:val="1211"/>
        </w:trPr>
        <w:tc>
          <w:tcPr>
            <w:tcW w:w="1271" w:type="dxa"/>
            <w:vMerge/>
            <w:tcBorders>
              <w:top w:val="nil"/>
              <w:left w:val="single" w:sz="8" w:space="0" w:color="FFFFFF"/>
              <w:bottom w:val="nil"/>
              <w:right w:val="single" w:sz="12" w:space="0" w:color="FFFFFF"/>
            </w:tcBorders>
            <w:vAlign w:val="center"/>
            <w:hideMark/>
          </w:tcPr>
          <w:p w14:paraId="79CCFCA2"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4804D693" w14:textId="77777777" w:rsidR="00BD2AE3" w:rsidRPr="00477C94" w:rsidRDefault="00BD2AE3" w:rsidP="00071DC7">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R</w:t>
            </w:r>
            <w:r w:rsidRPr="00477C94">
              <w:rPr>
                <w:rFonts w:ascii="Calibri" w:eastAsia="Times New Roman" w:hAnsi="Calibri"/>
                <w:color w:val="000000"/>
                <w:sz w:val="18"/>
                <w:lang w:eastAsia="en-GB"/>
              </w:rPr>
              <w:t>enewab</w:t>
            </w:r>
            <w:r>
              <w:rPr>
                <w:rFonts w:ascii="Calibri" w:eastAsia="Times New Roman" w:hAnsi="Calibri"/>
                <w:color w:val="000000"/>
                <w:sz w:val="18"/>
                <w:lang w:eastAsia="en-GB"/>
              </w:rPr>
              <w:t>le E</w:t>
            </w:r>
            <w:r w:rsidRPr="00477C94">
              <w:rPr>
                <w:rFonts w:ascii="Calibri" w:eastAsia="Times New Roman" w:hAnsi="Calibri"/>
                <w:color w:val="000000"/>
                <w:sz w:val="18"/>
                <w:lang w:eastAsia="en-GB"/>
              </w:rPr>
              <w:t>nergy</w:t>
            </w:r>
          </w:p>
        </w:tc>
        <w:tc>
          <w:tcPr>
            <w:tcW w:w="5101" w:type="dxa"/>
            <w:tcBorders>
              <w:top w:val="nil"/>
              <w:left w:val="nil"/>
              <w:bottom w:val="single" w:sz="8" w:space="0" w:color="FFFFFF"/>
              <w:right w:val="single" w:sz="8" w:space="0" w:color="FFFFFF"/>
            </w:tcBorders>
            <w:shd w:val="clear" w:color="000000" w:fill="D0CECE"/>
            <w:vAlign w:val="center"/>
            <w:hideMark/>
          </w:tcPr>
          <w:p w14:paraId="7CA8ABD3"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renewable energy activities do not map neatly across the SIC framework. Cebr have therefore drawn upon the BIS report, “The size and performance of the UK-low carbon economy” BIS report (2013) to derive employment, turnover and GVA estimates.</w:t>
            </w:r>
          </w:p>
        </w:tc>
        <w:tc>
          <w:tcPr>
            <w:tcW w:w="1477" w:type="dxa"/>
            <w:tcBorders>
              <w:top w:val="nil"/>
              <w:left w:val="nil"/>
              <w:bottom w:val="single" w:sz="8" w:space="0" w:color="FFFFFF"/>
              <w:right w:val="single" w:sz="8" w:space="0" w:color="FFFFFF"/>
            </w:tcBorders>
            <w:shd w:val="clear" w:color="000000" w:fill="D0CECE"/>
            <w:vAlign w:val="center"/>
            <w:hideMark/>
          </w:tcPr>
          <w:p w14:paraId="6DD4C977"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BIS, Cebr Analysis</w:t>
            </w:r>
          </w:p>
        </w:tc>
      </w:tr>
      <w:tr w:rsidR="00BD2AE3" w:rsidRPr="00477C94" w14:paraId="03A037C2" w14:textId="77777777" w:rsidTr="00071DC7">
        <w:trPr>
          <w:trHeight w:val="633"/>
        </w:trPr>
        <w:tc>
          <w:tcPr>
            <w:tcW w:w="1271" w:type="dxa"/>
            <w:vMerge/>
            <w:tcBorders>
              <w:top w:val="nil"/>
              <w:left w:val="single" w:sz="8" w:space="0" w:color="FFFFFF"/>
              <w:bottom w:val="nil"/>
              <w:right w:val="single" w:sz="12" w:space="0" w:color="FFFFFF"/>
            </w:tcBorders>
            <w:vAlign w:val="center"/>
            <w:hideMark/>
          </w:tcPr>
          <w:p w14:paraId="541529B1"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E7EEEF"/>
            <w:vAlign w:val="center"/>
            <w:hideMark/>
          </w:tcPr>
          <w:p w14:paraId="4AED4BF5" w14:textId="77777777" w:rsidR="00BD2AE3" w:rsidRPr="00477C94" w:rsidRDefault="00BD2AE3" w:rsidP="00071DC7">
            <w:pPr>
              <w:spacing w:after="0"/>
              <w:jc w:val="center"/>
              <w:rPr>
                <w:rFonts w:ascii="Calibri" w:eastAsia="Times New Roman" w:hAnsi="Calibri"/>
                <w:color w:val="000000"/>
                <w:sz w:val="18"/>
                <w:lang w:eastAsia="en-GB"/>
              </w:rPr>
            </w:pPr>
            <w:r>
              <w:rPr>
                <w:rFonts w:ascii="Calibri" w:eastAsia="Times New Roman" w:hAnsi="Calibri"/>
                <w:color w:val="000000"/>
                <w:sz w:val="18"/>
                <w:lang w:eastAsia="en-GB"/>
              </w:rPr>
              <w:t>Marine Support activities for Offshore Oil and Gas, Engineering and M</w:t>
            </w:r>
            <w:r w:rsidRPr="00477C94">
              <w:rPr>
                <w:rFonts w:ascii="Calibri" w:eastAsia="Times New Roman" w:hAnsi="Calibri"/>
                <w:color w:val="000000"/>
                <w:sz w:val="18"/>
                <w:lang w:eastAsia="en-GB"/>
              </w:rPr>
              <w:t>ining</w:t>
            </w:r>
          </w:p>
        </w:tc>
        <w:tc>
          <w:tcPr>
            <w:tcW w:w="5101" w:type="dxa"/>
            <w:tcBorders>
              <w:top w:val="nil"/>
              <w:left w:val="nil"/>
              <w:bottom w:val="single" w:sz="8" w:space="0" w:color="FFFFFF"/>
              <w:right w:val="single" w:sz="8" w:space="0" w:color="FFFFFF"/>
            </w:tcBorders>
            <w:shd w:val="clear" w:color="000000" w:fill="E7EEEF"/>
            <w:vAlign w:val="center"/>
            <w:hideMark/>
          </w:tcPr>
          <w:p w14:paraId="0C87DBFC"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Identified in the National Accounts framework through SIC code 91, "Support activities for petroleum and natural gas extraction".</w:t>
            </w:r>
          </w:p>
        </w:tc>
        <w:tc>
          <w:tcPr>
            <w:tcW w:w="1477" w:type="dxa"/>
            <w:tcBorders>
              <w:top w:val="nil"/>
              <w:left w:val="nil"/>
              <w:bottom w:val="single" w:sz="8" w:space="0" w:color="FFFFFF"/>
              <w:right w:val="single" w:sz="8" w:space="0" w:color="FFFFFF"/>
            </w:tcBorders>
            <w:shd w:val="clear" w:color="000000" w:fill="E7EEEF"/>
            <w:vAlign w:val="center"/>
            <w:hideMark/>
          </w:tcPr>
          <w:p w14:paraId="530F0E30"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FAME, Cebr Analysis</w:t>
            </w:r>
          </w:p>
        </w:tc>
      </w:tr>
      <w:tr w:rsidR="00BD2AE3" w:rsidRPr="00477C94" w14:paraId="4E234FAB" w14:textId="77777777" w:rsidTr="00071DC7">
        <w:trPr>
          <w:trHeight w:val="1585"/>
        </w:trPr>
        <w:tc>
          <w:tcPr>
            <w:tcW w:w="1271" w:type="dxa"/>
            <w:vMerge/>
            <w:tcBorders>
              <w:top w:val="nil"/>
              <w:left w:val="single" w:sz="8" w:space="0" w:color="FFFFFF"/>
              <w:bottom w:val="nil"/>
              <w:right w:val="single" w:sz="12" w:space="0" w:color="FFFFFF"/>
            </w:tcBorders>
            <w:vAlign w:val="center"/>
            <w:hideMark/>
          </w:tcPr>
          <w:p w14:paraId="3487CBAB" w14:textId="77777777" w:rsidR="00BD2AE3" w:rsidRPr="009B31F5" w:rsidRDefault="00BD2AE3" w:rsidP="00071DC7">
            <w:pPr>
              <w:spacing w:after="0"/>
              <w:rPr>
                <w:rFonts w:ascii="Calibri" w:eastAsia="Times New Roman" w:hAnsi="Calibri"/>
                <w:b/>
                <w:bCs/>
                <w:color w:val="FFFFFF"/>
                <w:szCs w:val="22"/>
                <w:lang w:eastAsia="en-GB"/>
              </w:rPr>
            </w:pPr>
          </w:p>
        </w:tc>
        <w:tc>
          <w:tcPr>
            <w:tcW w:w="1683" w:type="dxa"/>
            <w:tcBorders>
              <w:top w:val="nil"/>
              <w:left w:val="nil"/>
              <w:bottom w:val="single" w:sz="8" w:space="0" w:color="FFFFFF"/>
              <w:right w:val="single" w:sz="8" w:space="0" w:color="FFFFFF"/>
            </w:tcBorders>
            <w:shd w:val="clear" w:color="000000" w:fill="D0CECE"/>
            <w:vAlign w:val="center"/>
            <w:hideMark/>
          </w:tcPr>
          <w:p w14:paraId="589D2FD1"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w:t>
            </w:r>
          </w:p>
        </w:tc>
        <w:tc>
          <w:tcPr>
            <w:tcW w:w="5101" w:type="dxa"/>
            <w:tcBorders>
              <w:top w:val="nil"/>
              <w:left w:val="nil"/>
              <w:bottom w:val="single" w:sz="8" w:space="0" w:color="FFFFFF"/>
              <w:right w:val="single" w:sz="8" w:space="0" w:color="FFFFFF"/>
            </w:tcBorders>
            <w:shd w:val="clear" w:color="000000" w:fill="D0CECE"/>
            <w:vAlign w:val="center"/>
            <w:hideMark/>
          </w:tcPr>
          <w:p w14:paraId="214056D2" w14:textId="77777777" w:rsidR="00BD2AE3" w:rsidRPr="00477C94" w:rsidRDefault="00BD2AE3" w:rsidP="00071DC7">
            <w:pPr>
              <w:spacing w:after="0"/>
              <w:jc w:val="both"/>
              <w:rPr>
                <w:rFonts w:ascii="Calibri" w:eastAsia="Times New Roman" w:hAnsi="Calibri"/>
                <w:color w:val="000000"/>
                <w:sz w:val="18"/>
                <w:lang w:eastAsia="en-GB"/>
              </w:rPr>
            </w:pPr>
            <w:r w:rsidRPr="00477C94">
              <w:rPr>
                <w:rFonts w:ascii="Calibri" w:eastAsia="Times New Roman" w:hAnsi="Calibri"/>
                <w:color w:val="000000"/>
                <w:sz w:val="18"/>
                <w:lang w:eastAsia="en-GB"/>
              </w:rPr>
              <w:t>Marine Scientific and Technical activities do not map neatly across the SIC framework, as they are typically bundled together with other activities within the Manufacturing and "Other Scientific and Professional" sectors. Cebr have therefore drawn upon the Society of Maritime Industries (SMI) "Annual Review of UK Marine Scientific Industries" reports to gather data.</w:t>
            </w:r>
          </w:p>
        </w:tc>
        <w:tc>
          <w:tcPr>
            <w:tcW w:w="1477" w:type="dxa"/>
            <w:tcBorders>
              <w:top w:val="nil"/>
              <w:left w:val="nil"/>
              <w:bottom w:val="single" w:sz="8" w:space="0" w:color="FFFFFF"/>
              <w:right w:val="single" w:sz="8" w:space="0" w:color="FFFFFF"/>
            </w:tcBorders>
            <w:shd w:val="clear" w:color="000000" w:fill="D0CECE"/>
            <w:vAlign w:val="center"/>
            <w:hideMark/>
          </w:tcPr>
          <w:p w14:paraId="3C4F6D5D" w14:textId="77777777" w:rsidR="00BD2AE3" w:rsidRPr="00477C94" w:rsidRDefault="00BD2AE3" w:rsidP="00071DC7">
            <w:pPr>
              <w:spacing w:after="0"/>
              <w:jc w:val="center"/>
              <w:rPr>
                <w:rFonts w:ascii="Calibri" w:eastAsia="Times New Roman" w:hAnsi="Calibri"/>
                <w:color w:val="000000"/>
                <w:sz w:val="18"/>
                <w:lang w:eastAsia="en-GB"/>
              </w:rPr>
            </w:pPr>
            <w:r w:rsidRPr="00477C94">
              <w:rPr>
                <w:rFonts w:ascii="Calibri" w:eastAsia="Times New Roman" w:hAnsi="Calibri"/>
                <w:color w:val="000000"/>
                <w:sz w:val="18"/>
                <w:lang w:eastAsia="en-GB"/>
              </w:rPr>
              <w:t>SMI, Cebr Analysis</w:t>
            </w:r>
          </w:p>
        </w:tc>
      </w:tr>
    </w:tbl>
    <w:p w14:paraId="3BB42684" w14:textId="77777777" w:rsidR="00BD2AE3" w:rsidRDefault="00BD2AE3" w:rsidP="00BD2AE3">
      <w:pPr>
        <w:keepNext/>
        <w:keepLines/>
        <w:spacing w:before="60" w:after="120"/>
        <w:ind w:left="5760" w:firstLine="720"/>
        <w:jc w:val="right"/>
        <w:rPr>
          <w:i/>
          <w:color w:val="000000" w:themeColor="text1"/>
          <w:sz w:val="18"/>
        </w:rPr>
      </w:pPr>
      <w:r w:rsidRPr="00910768">
        <w:rPr>
          <w:i/>
          <w:color w:val="000000" w:themeColor="text1"/>
          <w:sz w:val="18"/>
        </w:rPr>
        <w:t>Source: Maritime UK, Cebr analysis</w:t>
      </w:r>
    </w:p>
    <w:p w14:paraId="4BB2AFDB" w14:textId="77777777" w:rsidR="00832A87" w:rsidRDefault="00832A87" w:rsidP="00BD2AE3">
      <w:pPr>
        <w:pStyle w:val="Caption"/>
      </w:pPr>
      <w:bookmarkStart w:id="26" w:name="_Ref16685116"/>
    </w:p>
    <w:p w14:paraId="0936762A" w14:textId="6BFC19CD" w:rsidR="00BD2AE3" w:rsidRPr="001D2C60" w:rsidRDefault="00BD2AE3" w:rsidP="00BD2AE3">
      <w:pPr>
        <w:pStyle w:val="Caption"/>
      </w:pPr>
      <w:r>
        <w:t xml:space="preserve">Table </w:t>
      </w:r>
      <w:r>
        <w:rPr>
          <w:noProof/>
        </w:rPr>
        <w:fldChar w:fldCharType="begin"/>
      </w:r>
      <w:r>
        <w:rPr>
          <w:noProof/>
        </w:rPr>
        <w:instrText xml:space="preserve"> SEQ Table \* ARABIC </w:instrText>
      </w:r>
      <w:r>
        <w:rPr>
          <w:noProof/>
        </w:rPr>
        <w:fldChar w:fldCharType="separate"/>
      </w:r>
      <w:r w:rsidR="00963862">
        <w:rPr>
          <w:noProof/>
        </w:rPr>
        <w:t>4</w:t>
      </w:r>
      <w:r>
        <w:rPr>
          <w:noProof/>
        </w:rPr>
        <w:fldChar w:fldCharType="end"/>
      </w:r>
      <w:bookmarkEnd w:id="26"/>
      <w:r>
        <w:t xml:space="preserve">: Mapping of </w:t>
      </w:r>
      <w:r w:rsidR="00654BBE">
        <w:t>Maritime Sector</w:t>
      </w:r>
      <w:r>
        <w:t xml:space="preserve"> activities: leisure marine industry </w:t>
      </w:r>
    </w:p>
    <w:tbl>
      <w:tblPr>
        <w:tblW w:w="9548" w:type="dxa"/>
        <w:tblInd w:w="-10" w:type="dxa"/>
        <w:tblLook w:val="04A0" w:firstRow="1" w:lastRow="0" w:firstColumn="1" w:lastColumn="0" w:noHBand="0" w:noVBand="1"/>
      </w:tblPr>
      <w:tblGrid>
        <w:gridCol w:w="1273"/>
        <w:gridCol w:w="1686"/>
        <w:gridCol w:w="5110"/>
        <w:gridCol w:w="1479"/>
      </w:tblGrid>
      <w:tr w:rsidR="00BD2AE3" w:rsidRPr="009B31F5" w14:paraId="6FC8BEFC" w14:textId="77777777" w:rsidTr="00071DC7">
        <w:trPr>
          <w:trHeight w:val="153"/>
        </w:trPr>
        <w:tc>
          <w:tcPr>
            <w:tcW w:w="1273" w:type="dxa"/>
            <w:tcBorders>
              <w:top w:val="single" w:sz="8" w:space="0" w:color="FFFFFF"/>
              <w:left w:val="single" w:sz="8" w:space="0" w:color="FFFFFF"/>
              <w:bottom w:val="single" w:sz="12" w:space="0" w:color="FFFFFF"/>
              <w:right w:val="single" w:sz="12" w:space="0" w:color="FFFFFF"/>
            </w:tcBorders>
            <w:shd w:val="clear" w:color="000000" w:fill="008C9B"/>
            <w:vAlign w:val="center"/>
            <w:hideMark/>
          </w:tcPr>
          <w:p w14:paraId="095FE56E"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INDUSTRY</w:t>
            </w:r>
          </w:p>
        </w:tc>
        <w:tc>
          <w:tcPr>
            <w:tcW w:w="1686" w:type="dxa"/>
            <w:tcBorders>
              <w:top w:val="single" w:sz="8" w:space="0" w:color="FFFFFF"/>
              <w:left w:val="nil"/>
              <w:bottom w:val="single" w:sz="12" w:space="0" w:color="FFFFFF"/>
              <w:right w:val="single" w:sz="12" w:space="0" w:color="FFFFFF"/>
            </w:tcBorders>
            <w:shd w:val="clear" w:color="000000" w:fill="008C9B"/>
            <w:vAlign w:val="center"/>
            <w:hideMark/>
          </w:tcPr>
          <w:p w14:paraId="3EF15AF8"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ACTIVITY</w:t>
            </w:r>
          </w:p>
        </w:tc>
        <w:tc>
          <w:tcPr>
            <w:tcW w:w="5110" w:type="dxa"/>
            <w:tcBorders>
              <w:top w:val="single" w:sz="8" w:space="0" w:color="FFFFFF"/>
              <w:left w:val="nil"/>
              <w:bottom w:val="single" w:sz="12" w:space="0" w:color="FFFFFF"/>
              <w:right w:val="single" w:sz="12" w:space="0" w:color="FFFFFF"/>
            </w:tcBorders>
            <w:shd w:val="clear" w:color="000000" w:fill="008C9B"/>
            <w:vAlign w:val="center"/>
            <w:hideMark/>
          </w:tcPr>
          <w:p w14:paraId="4C3BA3CD"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MAPPING</w:t>
            </w:r>
          </w:p>
        </w:tc>
        <w:tc>
          <w:tcPr>
            <w:tcW w:w="1479" w:type="dxa"/>
            <w:tcBorders>
              <w:top w:val="single" w:sz="8" w:space="0" w:color="FFFFFF"/>
              <w:left w:val="nil"/>
              <w:bottom w:val="single" w:sz="12" w:space="0" w:color="FFFFFF"/>
              <w:right w:val="single" w:sz="12" w:space="0" w:color="FFFFFF"/>
            </w:tcBorders>
            <w:shd w:val="clear" w:color="000000" w:fill="008C9B"/>
            <w:vAlign w:val="center"/>
            <w:hideMark/>
          </w:tcPr>
          <w:p w14:paraId="2707C2CB" w14:textId="77777777" w:rsidR="00BD2AE3" w:rsidRPr="009B31F5" w:rsidRDefault="00BD2AE3" w:rsidP="00071DC7">
            <w:pPr>
              <w:spacing w:after="0"/>
              <w:rPr>
                <w:rFonts w:ascii="Calibri" w:eastAsia="Times New Roman" w:hAnsi="Calibri"/>
                <w:b/>
                <w:bCs/>
                <w:color w:val="FFFFFF"/>
                <w:sz w:val="20"/>
                <w:lang w:eastAsia="en-GB"/>
              </w:rPr>
            </w:pPr>
            <w:r w:rsidRPr="009B31F5">
              <w:rPr>
                <w:rFonts w:ascii="Calibri" w:eastAsia="Times New Roman" w:hAnsi="Calibri"/>
                <w:b/>
                <w:bCs/>
                <w:color w:val="FFFFFF"/>
                <w:sz w:val="20"/>
                <w:lang w:eastAsia="en-GB"/>
              </w:rPr>
              <w:t xml:space="preserve">SOURCE(S) </w:t>
            </w:r>
          </w:p>
        </w:tc>
      </w:tr>
      <w:tr w:rsidR="00BD2AE3" w:rsidRPr="009B31F5" w14:paraId="5BB47C52" w14:textId="77777777" w:rsidTr="00071DC7">
        <w:trPr>
          <w:trHeight w:val="1298"/>
        </w:trPr>
        <w:tc>
          <w:tcPr>
            <w:tcW w:w="1273" w:type="dxa"/>
            <w:vMerge w:val="restart"/>
            <w:tcBorders>
              <w:top w:val="nil"/>
              <w:left w:val="single" w:sz="8" w:space="0" w:color="FFFFFF"/>
              <w:bottom w:val="nil"/>
              <w:right w:val="single" w:sz="12" w:space="0" w:color="FFFFFF"/>
            </w:tcBorders>
            <w:shd w:val="clear" w:color="000000" w:fill="008C9B"/>
            <w:vAlign w:val="center"/>
            <w:hideMark/>
          </w:tcPr>
          <w:p w14:paraId="0353B034" w14:textId="77777777" w:rsidR="00BD2AE3" w:rsidRPr="009B31F5" w:rsidRDefault="00BD2AE3" w:rsidP="00071DC7">
            <w:pPr>
              <w:spacing w:after="0"/>
              <w:jc w:val="center"/>
              <w:rPr>
                <w:rFonts w:ascii="Calibri" w:eastAsia="Times New Roman" w:hAnsi="Calibri"/>
                <w:b/>
                <w:bCs/>
                <w:color w:val="FFFFFF"/>
                <w:szCs w:val="22"/>
                <w:lang w:eastAsia="en-GB"/>
              </w:rPr>
            </w:pPr>
            <w:r>
              <w:rPr>
                <w:rFonts w:ascii="Calibri" w:eastAsia="Times New Roman" w:hAnsi="Calibri"/>
                <w:b/>
                <w:bCs/>
                <w:color w:val="FFFFFF"/>
                <w:szCs w:val="22"/>
                <w:lang w:eastAsia="en-GB"/>
              </w:rPr>
              <w:t xml:space="preserve">Leisure Marine </w:t>
            </w:r>
          </w:p>
        </w:tc>
        <w:tc>
          <w:tcPr>
            <w:tcW w:w="1686" w:type="dxa"/>
            <w:tcBorders>
              <w:top w:val="nil"/>
              <w:left w:val="nil"/>
              <w:bottom w:val="single" w:sz="8" w:space="0" w:color="FFFFFF"/>
              <w:right w:val="single" w:sz="8" w:space="0" w:color="FFFFFF"/>
            </w:tcBorders>
            <w:shd w:val="clear" w:color="000000" w:fill="E7EEEF"/>
            <w:vAlign w:val="center"/>
            <w:hideMark/>
          </w:tcPr>
          <w:p w14:paraId="3C9B68AC"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Boatbuilding (marine leisure vessels)</w:t>
            </w:r>
          </w:p>
        </w:tc>
        <w:tc>
          <w:tcPr>
            <w:tcW w:w="5110" w:type="dxa"/>
            <w:tcBorders>
              <w:top w:val="nil"/>
              <w:left w:val="nil"/>
              <w:bottom w:val="single" w:sz="8" w:space="0" w:color="FFFFFF"/>
              <w:right w:val="single" w:sz="8" w:space="0" w:color="FFFFFF"/>
            </w:tcBorders>
            <w:shd w:val="clear" w:color="000000" w:fill="E7EEEF"/>
            <w:vAlign w:val="center"/>
            <w:hideMark/>
          </w:tcPr>
          <w:p w14:paraId="310B67A7" w14:textId="77777777" w:rsidR="00BD2AE3" w:rsidRPr="001D2C60" w:rsidRDefault="00BD2AE3" w:rsidP="00071DC7">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Leisure boatbuilding has been identified through SIC code 3012 ("Building of pleasure and sporting boats") as well as through the British Marine "Key Performance Indicators for the Leisure, Superyacht and Small Commercial Marine Industry".</w:t>
            </w:r>
          </w:p>
        </w:tc>
        <w:tc>
          <w:tcPr>
            <w:tcW w:w="1479" w:type="dxa"/>
            <w:tcBorders>
              <w:top w:val="nil"/>
              <w:left w:val="nil"/>
              <w:bottom w:val="single" w:sz="8" w:space="0" w:color="FFFFFF"/>
              <w:right w:val="single" w:sz="8" w:space="0" w:color="FFFFFF"/>
            </w:tcBorders>
            <w:shd w:val="clear" w:color="000000" w:fill="E7EEEF"/>
            <w:vAlign w:val="center"/>
            <w:hideMark/>
          </w:tcPr>
          <w:p w14:paraId="1D9441FE"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ABS, BRES, British Marine, Cebr Analysis</w:t>
            </w:r>
          </w:p>
        </w:tc>
      </w:tr>
      <w:tr w:rsidR="00BD2AE3" w:rsidRPr="009B31F5" w14:paraId="4FE6B453" w14:textId="77777777" w:rsidTr="00071DC7">
        <w:trPr>
          <w:trHeight w:val="2210"/>
        </w:trPr>
        <w:tc>
          <w:tcPr>
            <w:tcW w:w="1273" w:type="dxa"/>
            <w:vMerge/>
            <w:tcBorders>
              <w:top w:val="nil"/>
              <w:left w:val="single" w:sz="8" w:space="0" w:color="FFFFFF"/>
              <w:bottom w:val="nil"/>
              <w:right w:val="single" w:sz="12" w:space="0" w:color="FFFFFF"/>
            </w:tcBorders>
            <w:vAlign w:val="center"/>
            <w:hideMark/>
          </w:tcPr>
          <w:p w14:paraId="361247D5" w14:textId="77777777" w:rsidR="00BD2AE3" w:rsidRPr="009B31F5" w:rsidRDefault="00BD2AE3" w:rsidP="00071DC7">
            <w:pPr>
              <w:spacing w:after="0"/>
              <w:rPr>
                <w:rFonts w:ascii="Calibri" w:eastAsia="Times New Roman" w:hAnsi="Calibri"/>
                <w:b/>
                <w:bCs/>
                <w:color w:val="FFFFFF"/>
                <w:szCs w:val="22"/>
                <w:lang w:eastAsia="en-GB"/>
              </w:rPr>
            </w:pPr>
          </w:p>
        </w:tc>
        <w:tc>
          <w:tcPr>
            <w:tcW w:w="1686" w:type="dxa"/>
            <w:tcBorders>
              <w:top w:val="nil"/>
              <w:left w:val="nil"/>
              <w:bottom w:val="single" w:sz="8" w:space="0" w:color="FFFFFF"/>
              <w:right w:val="single" w:sz="8" w:space="0" w:color="FFFFFF"/>
            </w:tcBorders>
            <w:shd w:val="clear" w:color="000000" w:fill="D0CECE"/>
            <w:vAlign w:val="center"/>
            <w:hideMark/>
          </w:tcPr>
          <w:p w14:paraId="765A7B63"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Other leisure marine activities</w:t>
            </w:r>
          </w:p>
        </w:tc>
        <w:tc>
          <w:tcPr>
            <w:tcW w:w="5110" w:type="dxa"/>
            <w:tcBorders>
              <w:top w:val="nil"/>
              <w:left w:val="nil"/>
              <w:bottom w:val="single" w:sz="8" w:space="0" w:color="FFFFFF"/>
              <w:right w:val="single" w:sz="8" w:space="0" w:color="FFFFFF"/>
            </w:tcBorders>
            <w:shd w:val="clear" w:color="000000" w:fill="D0CECE"/>
            <w:vAlign w:val="center"/>
            <w:hideMark/>
          </w:tcPr>
          <w:p w14:paraId="083C69F9" w14:textId="77777777" w:rsidR="00BD2AE3" w:rsidRPr="001D2C60" w:rsidRDefault="00BD2AE3" w:rsidP="00071DC7">
            <w:pPr>
              <w:spacing w:after="0"/>
              <w:jc w:val="both"/>
              <w:rPr>
                <w:rFonts w:ascii="Calibri" w:eastAsia="Times New Roman" w:hAnsi="Calibri"/>
                <w:color w:val="000000"/>
                <w:sz w:val="18"/>
                <w:lang w:eastAsia="en-GB"/>
              </w:rPr>
            </w:pPr>
            <w:r w:rsidRPr="001D2C60">
              <w:rPr>
                <w:rFonts w:ascii="Calibri" w:eastAsia="Times New Roman" w:hAnsi="Calibri"/>
                <w:color w:val="000000"/>
                <w:sz w:val="18"/>
                <w:szCs w:val="18"/>
                <w:lang w:eastAsia="en-GB"/>
              </w:rPr>
              <w:t>Other Leisure Marine activities do not map neatly across the SIC framework, as they are typically bundled together with others within the leisure industries; this precludes the effective use of FAME to gather economic impact data. Cebr have therefore drawn upon the British Marine "Key Performance Indicators for the Leisure, Superyacht and Small Commercial Marine Industry" to derive employment, turnover and GVA estimates, stripping out firms involved in non-leisure marine activities.</w:t>
            </w:r>
          </w:p>
        </w:tc>
        <w:tc>
          <w:tcPr>
            <w:tcW w:w="1479" w:type="dxa"/>
            <w:tcBorders>
              <w:top w:val="nil"/>
              <w:left w:val="nil"/>
              <w:bottom w:val="single" w:sz="8" w:space="0" w:color="FFFFFF"/>
              <w:right w:val="single" w:sz="8" w:space="0" w:color="FFFFFF"/>
            </w:tcBorders>
            <w:shd w:val="clear" w:color="000000" w:fill="D0CECE"/>
            <w:vAlign w:val="center"/>
            <w:hideMark/>
          </w:tcPr>
          <w:p w14:paraId="10BA233E" w14:textId="77777777" w:rsidR="00BD2AE3" w:rsidRPr="001D2C60" w:rsidRDefault="00BD2AE3" w:rsidP="00071DC7">
            <w:pPr>
              <w:spacing w:after="0"/>
              <w:jc w:val="center"/>
              <w:rPr>
                <w:rFonts w:ascii="Calibri" w:eastAsia="Times New Roman" w:hAnsi="Calibri"/>
                <w:color w:val="000000"/>
                <w:sz w:val="18"/>
                <w:lang w:eastAsia="en-GB"/>
              </w:rPr>
            </w:pPr>
            <w:r w:rsidRPr="001D2C60">
              <w:rPr>
                <w:rFonts w:ascii="Calibri" w:eastAsia="Times New Roman" w:hAnsi="Calibri"/>
                <w:color w:val="000000"/>
                <w:sz w:val="18"/>
                <w:lang w:eastAsia="en-GB"/>
              </w:rPr>
              <w:t>British Marine, Cebr Analysis</w:t>
            </w:r>
          </w:p>
        </w:tc>
      </w:tr>
    </w:tbl>
    <w:p w14:paraId="60A0B3D6" w14:textId="77777777" w:rsidR="00BD2AE3" w:rsidRDefault="00BD2AE3" w:rsidP="00BD2AE3">
      <w:pPr>
        <w:keepNext/>
        <w:keepLines/>
        <w:spacing w:before="60" w:after="120"/>
        <w:ind w:left="5760" w:firstLine="720"/>
        <w:jc w:val="right"/>
        <w:rPr>
          <w:i/>
          <w:color w:val="000000" w:themeColor="text1"/>
          <w:sz w:val="18"/>
        </w:rPr>
      </w:pPr>
      <w:r w:rsidRPr="00910768">
        <w:rPr>
          <w:i/>
          <w:color w:val="000000" w:themeColor="text1"/>
          <w:sz w:val="18"/>
        </w:rPr>
        <w:t>Source: Maritime UK, Cebr analysis</w:t>
      </w:r>
    </w:p>
    <w:p w14:paraId="4D54AB87" w14:textId="77777777" w:rsidR="001C07BD" w:rsidRDefault="001C07BD" w:rsidP="001C07BD">
      <w:pPr>
        <w:pStyle w:val="ListBullet"/>
        <w:numPr>
          <w:ilvl w:val="0"/>
          <w:numId w:val="0"/>
        </w:numPr>
        <w:rPr>
          <w:rFonts w:ascii="Calibri" w:eastAsia="Microsoft JhengHei" w:hAnsi="Calibri"/>
          <w:szCs w:val="22"/>
          <w:vertAlign w:val="superscript"/>
        </w:rPr>
      </w:pPr>
      <w:r>
        <w:rPr>
          <w:rFonts w:ascii="Calibri" w:eastAsia="Microsoft JhengHei" w:hAnsi="Calibri"/>
          <w:szCs w:val="22"/>
        </w:rPr>
        <w:t>The marine engineering and scientific industry encompasses activities, such as renewable energy generation and marine scientific activities. The leisure marine industry is defined narrowly as encompassing activities ranging from leisure boat manufacturing to leisure marine services.</w:t>
      </w:r>
      <w:r w:rsidRPr="001C07BD">
        <w:rPr>
          <w:rFonts w:ascii="Calibri" w:eastAsia="Microsoft JhengHei" w:hAnsi="Calibri"/>
          <w:szCs w:val="22"/>
          <w:vertAlign w:val="superscript"/>
        </w:rPr>
        <w:t xml:space="preserve"> </w:t>
      </w:r>
      <w:r w:rsidRPr="001C07BD">
        <w:rPr>
          <w:vertAlign w:val="superscript"/>
        </w:rPr>
        <w:footnoteReference w:id="5"/>
      </w:r>
      <w:r w:rsidRPr="001C07BD">
        <w:rPr>
          <w:rFonts w:ascii="Calibri" w:eastAsia="Microsoft JhengHei" w:hAnsi="Calibri"/>
          <w:szCs w:val="22"/>
          <w:vertAlign w:val="superscript"/>
        </w:rPr>
        <w:t xml:space="preserve"> </w:t>
      </w:r>
    </w:p>
    <w:p w14:paraId="2B4C2F53" w14:textId="4445324F" w:rsidR="001C07BD" w:rsidRDefault="001C07BD" w:rsidP="001C07BD">
      <w:pPr>
        <w:pStyle w:val="ListBullet"/>
        <w:numPr>
          <w:ilvl w:val="0"/>
          <w:numId w:val="0"/>
        </w:numPr>
        <w:rPr>
          <w:rFonts w:ascii="Calibri" w:eastAsia="Microsoft JhengHei" w:hAnsi="Calibri"/>
          <w:szCs w:val="22"/>
        </w:rPr>
      </w:pPr>
      <w:r>
        <w:rPr>
          <w:rFonts w:ascii="Calibri" w:eastAsia="Microsoft JhengHei" w:hAnsi="Calibri"/>
          <w:szCs w:val="22"/>
        </w:rPr>
        <w:lastRenderedPageBreak/>
        <w:t>A key source of information used by Cebr to capture leisure marine activities is the Key Performance Indicators (KPI) analysis produced by British Marine. The KPI analysis is produced each year, drawing upon information supplied to British Marine by its membership, such as c</w:t>
      </w:r>
      <w:r w:rsidRPr="0034349D">
        <w:rPr>
          <w:rFonts w:ascii="Calibri" w:eastAsia="Microsoft JhengHei" w:hAnsi="Calibri"/>
          <w:szCs w:val="22"/>
        </w:rPr>
        <w:t>ompany turnover and statistics declarations.</w:t>
      </w:r>
      <w:r>
        <w:rPr>
          <w:rFonts w:ascii="Calibri" w:eastAsia="Microsoft JhengHei" w:hAnsi="Calibri"/>
          <w:szCs w:val="22"/>
        </w:rPr>
        <w:t xml:space="preserve"> KPI analysis covering the years 2010 to 2017 (inclusive) has therefore been used as a major source of information for capturing and quantifying leisure boatbuilding as well as business and customer marine activities.</w:t>
      </w:r>
    </w:p>
    <w:p w14:paraId="3D452BD9" w14:textId="77777777" w:rsidR="00BD2AE3" w:rsidRDefault="00BD2AE3" w:rsidP="00BD2AE3">
      <w:pPr>
        <w:pStyle w:val="Heading3"/>
      </w:pPr>
      <w:r>
        <w:t xml:space="preserve">The Maritime Business Services industry </w:t>
      </w:r>
    </w:p>
    <w:p w14:paraId="21AFF3DC" w14:textId="022560FC" w:rsidR="00BD2AE3" w:rsidRDefault="00BD2AE3" w:rsidP="001C07BD">
      <w:pPr>
        <w:pStyle w:val="ListBullet"/>
        <w:numPr>
          <w:ilvl w:val="0"/>
          <w:numId w:val="0"/>
        </w:numPr>
        <w:spacing w:after="120"/>
      </w:pPr>
      <w:r>
        <w:t xml:space="preserve">The methodology of the Maritime Business Services industry is unique compared to the other reports of this study into the </w:t>
      </w:r>
      <w:r w:rsidR="00654BBE">
        <w:t>Maritime Sector</w:t>
      </w:r>
      <w:r>
        <w:t xml:space="preserve">. The MBS industry is a fairly abstract concept comprising of, for the purpose of this study, eight sub-industries which are not exclusively maritime related and hence do not map neatly onto SIC codes. </w:t>
      </w:r>
    </w:p>
    <w:p w14:paraId="4F80CF8A" w14:textId="77777777" w:rsidR="001C07BD" w:rsidRDefault="00BD2AE3" w:rsidP="001C07BD">
      <w:pPr>
        <w:pStyle w:val="ListBullet"/>
        <w:numPr>
          <w:ilvl w:val="0"/>
          <w:numId w:val="0"/>
        </w:numPr>
        <w:spacing w:after="120"/>
      </w:pPr>
      <w:r>
        <w:t xml:space="preserve">For this analysis Cebr has drawn on a variety of data sources to produce a bottom-up analysis for each of the sub-industries. Data is limited for Maritime Financial services and Maritime Accountancy and as such for these sub-industries, we rely on PwC’s 2016 study ‘The UK’s Global Maritime Professional Services: Contribution and Trends’, augmenting it with trends in the broader industry to generate estimates for the entire period, 2010 to 2017. The other sub-industries have been computed through a combination of bottom-up analysis using company and financial accounts, FAME, ONS and insights from representatives of the industry. </w:t>
      </w:r>
    </w:p>
    <w:p w14:paraId="6896853E" w14:textId="1BA6BC79" w:rsidR="00BD2AE3" w:rsidRPr="00B10C2D" w:rsidRDefault="00BD2AE3" w:rsidP="001C07BD">
      <w:pPr>
        <w:pStyle w:val="ListBullet"/>
        <w:numPr>
          <w:ilvl w:val="0"/>
          <w:numId w:val="0"/>
        </w:numPr>
        <w:spacing w:after="120"/>
      </w:pPr>
      <w:r>
        <w:t xml:space="preserve">For a more detailed description of the individual methodologies, please see ‘The economic contribution of the UK Maritime Business Services industry’ report. </w:t>
      </w:r>
    </w:p>
    <w:p w14:paraId="45A82C20" w14:textId="56BA91B6" w:rsidR="00AC5E49" w:rsidRDefault="00AC5E49" w:rsidP="001C73C3">
      <w:pPr>
        <w:spacing w:after="0"/>
        <w:rPr>
          <w:rFonts w:ascii="Calibri" w:eastAsia="Microsoft JhengHei" w:hAnsi="Calibri"/>
          <w:szCs w:val="22"/>
        </w:rPr>
      </w:pPr>
    </w:p>
    <w:p w14:paraId="4E74E5D5" w14:textId="4B55A7F6" w:rsidR="00AC5E49" w:rsidRDefault="00AC5E49" w:rsidP="00AC5E49">
      <w:pPr>
        <w:pStyle w:val="Heading2"/>
      </w:pPr>
      <w:bookmarkStart w:id="27" w:name="_Toc487469761"/>
      <w:bookmarkStart w:id="28" w:name="_Toc488396650"/>
      <w:bookmarkStart w:id="29" w:name="_Toc18076337"/>
      <w:r>
        <w:t xml:space="preserve">Quantifying the direct economic impacts of the industry </w:t>
      </w:r>
      <w:bookmarkEnd w:id="27"/>
      <w:r>
        <w:t xml:space="preserve">in </w:t>
      </w:r>
      <w:bookmarkEnd w:id="28"/>
      <w:r>
        <w:t>Wales</w:t>
      </w:r>
      <w:bookmarkEnd w:id="29"/>
    </w:p>
    <w:p w14:paraId="5272B74B" w14:textId="5EA790FC" w:rsidR="00AC5E49" w:rsidRDefault="00AC5E49" w:rsidP="00AC5E49">
      <w:r>
        <w:t xml:space="preserve">In this final subsection we set out the approach taken to disaggregate the direct economic impacts at regional level for each Maritime industry. For the majority of </w:t>
      </w:r>
      <w:r w:rsidR="00654BBE">
        <w:t>Maritime Sector</w:t>
      </w:r>
      <w:r>
        <w:t xml:space="preserve"> activities</w:t>
      </w:r>
      <w:r w:rsidRPr="008C5B15">
        <w:t xml:space="preserve">, the </w:t>
      </w:r>
      <w:r>
        <w:t>approach taken to disaggregate the direct economic impacts of sector has involved combining the direct economic impacts at UK-level with publicly-available statistics which can be disaggregated at regional level. However, this approach is not always possible, as a result of the difficulties in mapping some activities against the national accounts framework. In these instances, industry-level information has been used to estimate the Welsh proportion of economic activity.</w:t>
      </w:r>
    </w:p>
    <w:p w14:paraId="07066A28" w14:textId="77777777" w:rsidR="007144FF" w:rsidRDefault="007144FF" w:rsidP="007144FF">
      <w:pPr>
        <w:pStyle w:val="ListBullet"/>
        <w:numPr>
          <w:ilvl w:val="0"/>
          <w:numId w:val="0"/>
        </w:numPr>
        <w:spacing w:after="120"/>
        <w:rPr>
          <w:rFonts w:ascii="Calibri" w:eastAsia="Microsoft JhengHei" w:hAnsi="Calibri"/>
          <w:b/>
          <w:szCs w:val="22"/>
        </w:rPr>
      </w:pPr>
      <w:r>
        <w:rPr>
          <w:rFonts w:ascii="Calibri" w:eastAsia="Microsoft JhengHei" w:hAnsi="Calibri"/>
          <w:b/>
          <w:szCs w:val="22"/>
        </w:rPr>
        <w:t>Ports</w:t>
      </w:r>
    </w:p>
    <w:p w14:paraId="1C233150" w14:textId="46C1ED75" w:rsidR="007144FF"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The first step in disaggregatin</w:t>
      </w:r>
      <w:r w:rsidR="001C07BD">
        <w:rPr>
          <w:rFonts w:ascii="Calibri" w:eastAsia="Microsoft JhengHei" w:hAnsi="Calibri"/>
          <w:szCs w:val="22"/>
        </w:rPr>
        <w:t>g the economic activity of the p</w:t>
      </w:r>
      <w:r>
        <w:rPr>
          <w:rFonts w:ascii="Calibri" w:eastAsia="Microsoft JhengHei" w:hAnsi="Calibri"/>
          <w:szCs w:val="22"/>
        </w:rPr>
        <w:t>orts industry has been to identify the proportion of employment within council wards which contain a major or minor UK port. It</w:t>
      </w:r>
      <w:r w:rsidR="001C07BD">
        <w:rPr>
          <w:rFonts w:ascii="Calibri" w:eastAsia="Microsoft JhengHei" w:hAnsi="Calibri"/>
          <w:szCs w:val="22"/>
        </w:rPr>
        <w:t xml:space="preserve"> is assumed that employment in p</w:t>
      </w:r>
      <w:r>
        <w:rPr>
          <w:rFonts w:ascii="Calibri" w:eastAsia="Microsoft JhengHei" w:hAnsi="Calibri"/>
          <w:szCs w:val="22"/>
        </w:rPr>
        <w:t xml:space="preserve">orts-related activities (as set out in </w:t>
      </w:r>
      <w:r>
        <w:rPr>
          <w:rFonts w:ascii="Calibri" w:eastAsia="Microsoft JhengHei" w:hAnsi="Calibri"/>
          <w:szCs w:val="22"/>
        </w:rPr>
        <w:fldChar w:fldCharType="begin"/>
      </w:r>
      <w:r>
        <w:rPr>
          <w:rFonts w:ascii="Calibri" w:eastAsia="Microsoft JhengHei" w:hAnsi="Calibri"/>
          <w:szCs w:val="22"/>
        </w:rPr>
        <w:instrText xml:space="preserve"> REF _Ref490044525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w:t>
      </w:r>
      <w:r>
        <w:rPr>
          <w:rFonts w:ascii="Calibri" w:eastAsia="Microsoft JhengHei" w:hAnsi="Calibri"/>
          <w:szCs w:val="22"/>
        </w:rPr>
        <w:fldChar w:fldCharType="end"/>
      </w:r>
      <w:r>
        <w:rPr>
          <w:rFonts w:ascii="Calibri" w:eastAsia="Microsoft JhengHei" w:hAnsi="Calibri"/>
          <w:szCs w:val="22"/>
        </w:rPr>
        <w:t xml:space="preserve">) within a council ward containing a UK port directly relates to the port. The major source of employment in council wards used was BRES. </w:t>
      </w:r>
    </w:p>
    <w:p w14:paraId="374A2686" w14:textId="323ECB67" w:rsidR="00BD2AE3"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A full list of the Welsh ports considered as part of this report is provided in the Annex.</w:t>
      </w:r>
      <w:r w:rsidR="00305EBF" w:rsidRPr="006D583E">
        <w:rPr>
          <w:rStyle w:val="FootnoteReference"/>
          <w:rFonts w:ascii="Calibri" w:eastAsia="Microsoft JhengHei" w:hAnsi="Calibri"/>
          <w:position w:val="0"/>
          <w:sz w:val="22"/>
        </w:rPr>
        <w:footnoteReference w:id="6"/>
      </w:r>
      <w:r w:rsidRPr="006D583E">
        <w:rPr>
          <w:rStyle w:val="FootnoteReference"/>
          <w:position w:val="0"/>
          <w:sz w:val="22"/>
        </w:rPr>
        <w:t xml:space="preserve"> </w:t>
      </w:r>
      <w:r>
        <w:rPr>
          <w:rFonts w:ascii="Calibri" w:eastAsia="Microsoft JhengHei" w:hAnsi="Calibri"/>
          <w:szCs w:val="22"/>
        </w:rPr>
        <w:fldChar w:fldCharType="begin"/>
      </w:r>
      <w:r>
        <w:rPr>
          <w:rFonts w:ascii="Calibri" w:eastAsia="Microsoft JhengHei" w:hAnsi="Calibri"/>
          <w:szCs w:val="22"/>
        </w:rPr>
        <w:instrText xml:space="preserve"> REF _Ref490044695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5</w:t>
      </w:r>
      <w:r>
        <w:rPr>
          <w:rFonts w:ascii="Calibri" w:eastAsia="Microsoft JhengHei" w:hAnsi="Calibri"/>
          <w:szCs w:val="22"/>
        </w:rPr>
        <w:fldChar w:fldCharType="end"/>
      </w:r>
      <w:r>
        <w:rPr>
          <w:rFonts w:ascii="Calibri" w:eastAsia="Microsoft JhengHei" w:hAnsi="Calibri"/>
          <w:szCs w:val="22"/>
        </w:rPr>
        <w:t xml:space="preserve"> below shows the prop</w:t>
      </w:r>
      <w:r w:rsidR="001C07BD">
        <w:rPr>
          <w:rFonts w:ascii="Calibri" w:eastAsia="Microsoft JhengHei" w:hAnsi="Calibri"/>
          <w:szCs w:val="22"/>
        </w:rPr>
        <w:t>ortion of employment in the UK p</w:t>
      </w:r>
      <w:r>
        <w:rPr>
          <w:rFonts w:ascii="Calibri" w:eastAsia="Microsoft JhengHei" w:hAnsi="Calibri"/>
          <w:szCs w:val="22"/>
        </w:rPr>
        <w:t>orts industry which applies to Wales, as estimated using</w:t>
      </w:r>
      <w:r w:rsidR="001C07BD">
        <w:rPr>
          <w:rFonts w:ascii="Calibri" w:eastAsia="Microsoft JhengHei" w:hAnsi="Calibri"/>
          <w:szCs w:val="22"/>
        </w:rPr>
        <w:t xml:space="preserve"> the approach described above. </w:t>
      </w:r>
    </w:p>
    <w:p w14:paraId="4074F861" w14:textId="6C2314DA" w:rsidR="007144FF" w:rsidRDefault="007144FF" w:rsidP="007144FF">
      <w:pPr>
        <w:pStyle w:val="Caption"/>
        <w:keepNext/>
      </w:pPr>
      <w:bookmarkStart w:id="30" w:name="_Ref490044695"/>
      <w:r>
        <w:lastRenderedPageBreak/>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5</w:t>
      </w:r>
      <w:r w:rsidR="00A420C1">
        <w:rPr>
          <w:noProof/>
        </w:rPr>
        <w:fldChar w:fldCharType="end"/>
      </w:r>
      <w:bookmarkEnd w:id="30"/>
      <w:r>
        <w:t xml:space="preserve">: </w:t>
      </w:r>
      <w:r w:rsidRPr="00BA2A05">
        <w:t>The</w:t>
      </w:r>
      <w:r w:rsidR="001C07BD">
        <w:t xml:space="preserve"> breakdown of UK employment in p</w:t>
      </w:r>
      <w:r w:rsidRPr="00BA2A05">
        <w:t>orts as implied by BRES and ABS, 2010 to 201</w:t>
      </w:r>
      <w:r w:rsidR="00347958">
        <w:t>7</w:t>
      </w:r>
    </w:p>
    <w:tbl>
      <w:tblPr>
        <w:tblW w:w="9551" w:type="dxa"/>
        <w:tblLook w:val="04A0" w:firstRow="1" w:lastRow="0" w:firstColumn="1" w:lastColumn="0" w:noHBand="0" w:noVBand="1"/>
      </w:tblPr>
      <w:tblGrid>
        <w:gridCol w:w="2471"/>
        <w:gridCol w:w="885"/>
        <w:gridCol w:w="885"/>
        <w:gridCol w:w="885"/>
        <w:gridCol w:w="885"/>
        <w:gridCol w:w="885"/>
        <w:gridCol w:w="885"/>
        <w:gridCol w:w="885"/>
        <w:gridCol w:w="885"/>
      </w:tblGrid>
      <w:tr w:rsidR="00F31CFA" w:rsidRPr="00F31CFA" w14:paraId="1999783C" w14:textId="77777777" w:rsidTr="00F31CFA">
        <w:trPr>
          <w:trHeight w:val="315"/>
        </w:trPr>
        <w:tc>
          <w:tcPr>
            <w:tcW w:w="2471" w:type="dxa"/>
            <w:tcBorders>
              <w:top w:val="single" w:sz="8" w:space="0" w:color="FFFFFF"/>
              <w:left w:val="nil"/>
              <w:bottom w:val="single" w:sz="12" w:space="0" w:color="FFFFFF"/>
              <w:right w:val="single" w:sz="8" w:space="0" w:color="FFFFFF"/>
            </w:tcBorders>
            <w:shd w:val="clear" w:color="000000" w:fill="008C9B"/>
            <w:vAlign w:val="center"/>
            <w:hideMark/>
          </w:tcPr>
          <w:p w14:paraId="4A1B7752" w14:textId="77777777" w:rsidR="00F31CFA" w:rsidRPr="00F31CFA" w:rsidRDefault="00F31CFA" w:rsidP="00F31CFA">
            <w:pPr>
              <w:spacing w:after="0"/>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Ports Employment</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1ABD4F32"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2010</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6B93F2C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2011</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25D680CF"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2012</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118530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2013</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D36E900"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2014</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E955F39"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2015</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1372C65B"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2016</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53050D3"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2017</w:t>
            </w:r>
          </w:p>
        </w:tc>
      </w:tr>
      <w:tr w:rsidR="00F31CFA" w:rsidRPr="00F31CFA" w14:paraId="7B756E2E"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2FA6578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England</w:t>
            </w:r>
          </w:p>
        </w:tc>
        <w:tc>
          <w:tcPr>
            <w:tcW w:w="885" w:type="dxa"/>
            <w:tcBorders>
              <w:top w:val="nil"/>
              <w:left w:val="nil"/>
              <w:bottom w:val="single" w:sz="8" w:space="0" w:color="FFFFFF"/>
              <w:right w:val="single" w:sz="8" w:space="0" w:color="FFFFFF"/>
            </w:tcBorders>
            <w:shd w:val="clear" w:color="000000" w:fill="E7EEEF"/>
            <w:vAlign w:val="center"/>
            <w:hideMark/>
          </w:tcPr>
          <w:p w14:paraId="1B77FB8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83.8%</w:t>
            </w:r>
          </w:p>
        </w:tc>
        <w:tc>
          <w:tcPr>
            <w:tcW w:w="885" w:type="dxa"/>
            <w:tcBorders>
              <w:top w:val="nil"/>
              <w:left w:val="nil"/>
              <w:bottom w:val="single" w:sz="8" w:space="0" w:color="FFFFFF"/>
              <w:right w:val="single" w:sz="8" w:space="0" w:color="FFFFFF"/>
            </w:tcBorders>
            <w:shd w:val="clear" w:color="000000" w:fill="E7EEEF"/>
            <w:vAlign w:val="center"/>
            <w:hideMark/>
          </w:tcPr>
          <w:p w14:paraId="64F95A0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82.2%</w:t>
            </w:r>
          </w:p>
        </w:tc>
        <w:tc>
          <w:tcPr>
            <w:tcW w:w="885" w:type="dxa"/>
            <w:tcBorders>
              <w:top w:val="nil"/>
              <w:left w:val="nil"/>
              <w:bottom w:val="single" w:sz="8" w:space="0" w:color="FFFFFF"/>
              <w:right w:val="single" w:sz="8" w:space="0" w:color="FFFFFF"/>
            </w:tcBorders>
            <w:shd w:val="clear" w:color="000000" w:fill="E7EEEF"/>
            <w:vAlign w:val="center"/>
            <w:hideMark/>
          </w:tcPr>
          <w:p w14:paraId="4D00E07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84.6%</w:t>
            </w:r>
          </w:p>
        </w:tc>
        <w:tc>
          <w:tcPr>
            <w:tcW w:w="885" w:type="dxa"/>
            <w:tcBorders>
              <w:top w:val="nil"/>
              <w:left w:val="nil"/>
              <w:bottom w:val="single" w:sz="8" w:space="0" w:color="FFFFFF"/>
              <w:right w:val="single" w:sz="8" w:space="0" w:color="FFFFFF"/>
            </w:tcBorders>
            <w:shd w:val="clear" w:color="000000" w:fill="E7EEEF"/>
            <w:vAlign w:val="center"/>
            <w:hideMark/>
          </w:tcPr>
          <w:p w14:paraId="35B122F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83.1%</w:t>
            </w:r>
          </w:p>
        </w:tc>
        <w:tc>
          <w:tcPr>
            <w:tcW w:w="885" w:type="dxa"/>
            <w:tcBorders>
              <w:top w:val="nil"/>
              <w:left w:val="nil"/>
              <w:bottom w:val="single" w:sz="8" w:space="0" w:color="FFFFFF"/>
              <w:right w:val="single" w:sz="8" w:space="0" w:color="FFFFFF"/>
            </w:tcBorders>
            <w:shd w:val="clear" w:color="000000" w:fill="E7EEEF"/>
            <w:vAlign w:val="center"/>
            <w:hideMark/>
          </w:tcPr>
          <w:p w14:paraId="6796DB0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83.9%</w:t>
            </w:r>
          </w:p>
        </w:tc>
        <w:tc>
          <w:tcPr>
            <w:tcW w:w="885" w:type="dxa"/>
            <w:tcBorders>
              <w:top w:val="nil"/>
              <w:left w:val="nil"/>
              <w:bottom w:val="single" w:sz="8" w:space="0" w:color="FFFFFF"/>
              <w:right w:val="single" w:sz="8" w:space="0" w:color="FFFFFF"/>
            </w:tcBorders>
            <w:shd w:val="clear" w:color="000000" w:fill="E7EEEF"/>
            <w:vAlign w:val="center"/>
            <w:hideMark/>
          </w:tcPr>
          <w:p w14:paraId="215DAD6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85.8%</w:t>
            </w:r>
          </w:p>
        </w:tc>
        <w:tc>
          <w:tcPr>
            <w:tcW w:w="885" w:type="dxa"/>
            <w:tcBorders>
              <w:top w:val="nil"/>
              <w:left w:val="nil"/>
              <w:bottom w:val="single" w:sz="8" w:space="0" w:color="FFFFFF"/>
              <w:right w:val="single" w:sz="8" w:space="0" w:color="FFFFFF"/>
            </w:tcBorders>
            <w:shd w:val="clear" w:color="000000" w:fill="E7EEEF"/>
            <w:vAlign w:val="center"/>
            <w:hideMark/>
          </w:tcPr>
          <w:p w14:paraId="21D3218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85.6%</w:t>
            </w:r>
          </w:p>
        </w:tc>
        <w:tc>
          <w:tcPr>
            <w:tcW w:w="885" w:type="dxa"/>
            <w:tcBorders>
              <w:top w:val="nil"/>
              <w:left w:val="nil"/>
              <w:bottom w:val="single" w:sz="8" w:space="0" w:color="FFFFFF"/>
              <w:right w:val="single" w:sz="8" w:space="0" w:color="FFFFFF"/>
            </w:tcBorders>
            <w:shd w:val="clear" w:color="000000" w:fill="E7EEEF"/>
            <w:vAlign w:val="center"/>
            <w:hideMark/>
          </w:tcPr>
          <w:p w14:paraId="3BBA770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85.4%</w:t>
            </w:r>
          </w:p>
        </w:tc>
      </w:tr>
      <w:tr w:rsidR="00F31CFA" w:rsidRPr="00F31CFA" w14:paraId="1B82472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10D9B6"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Scotland</w:t>
            </w:r>
          </w:p>
        </w:tc>
        <w:tc>
          <w:tcPr>
            <w:tcW w:w="885" w:type="dxa"/>
            <w:tcBorders>
              <w:top w:val="nil"/>
              <w:left w:val="nil"/>
              <w:bottom w:val="single" w:sz="8" w:space="0" w:color="FFFFFF"/>
              <w:right w:val="single" w:sz="8" w:space="0" w:color="FFFFFF"/>
            </w:tcBorders>
            <w:shd w:val="clear" w:color="000000" w:fill="D0CECE"/>
            <w:vAlign w:val="center"/>
            <w:hideMark/>
          </w:tcPr>
          <w:p w14:paraId="187D16D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9.1%</w:t>
            </w:r>
          </w:p>
        </w:tc>
        <w:tc>
          <w:tcPr>
            <w:tcW w:w="885" w:type="dxa"/>
            <w:tcBorders>
              <w:top w:val="nil"/>
              <w:left w:val="nil"/>
              <w:bottom w:val="single" w:sz="8" w:space="0" w:color="FFFFFF"/>
              <w:right w:val="single" w:sz="8" w:space="0" w:color="FFFFFF"/>
            </w:tcBorders>
            <w:shd w:val="clear" w:color="000000" w:fill="D0CECE"/>
            <w:vAlign w:val="center"/>
            <w:hideMark/>
          </w:tcPr>
          <w:p w14:paraId="11E1723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9.6%</w:t>
            </w:r>
          </w:p>
        </w:tc>
        <w:tc>
          <w:tcPr>
            <w:tcW w:w="885" w:type="dxa"/>
            <w:tcBorders>
              <w:top w:val="nil"/>
              <w:left w:val="nil"/>
              <w:bottom w:val="single" w:sz="8" w:space="0" w:color="FFFFFF"/>
              <w:right w:val="single" w:sz="8" w:space="0" w:color="FFFFFF"/>
            </w:tcBorders>
            <w:shd w:val="clear" w:color="000000" w:fill="D0CECE"/>
            <w:vAlign w:val="center"/>
            <w:hideMark/>
          </w:tcPr>
          <w:p w14:paraId="10E7B8D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9.2%</w:t>
            </w:r>
          </w:p>
        </w:tc>
        <w:tc>
          <w:tcPr>
            <w:tcW w:w="885" w:type="dxa"/>
            <w:tcBorders>
              <w:top w:val="nil"/>
              <w:left w:val="nil"/>
              <w:bottom w:val="single" w:sz="8" w:space="0" w:color="FFFFFF"/>
              <w:right w:val="single" w:sz="8" w:space="0" w:color="FFFFFF"/>
            </w:tcBorders>
            <w:shd w:val="clear" w:color="000000" w:fill="D0CECE"/>
            <w:vAlign w:val="center"/>
            <w:hideMark/>
          </w:tcPr>
          <w:p w14:paraId="24AA080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10.9%</w:t>
            </w:r>
          </w:p>
        </w:tc>
        <w:tc>
          <w:tcPr>
            <w:tcW w:w="885" w:type="dxa"/>
            <w:tcBorders>
              <w:top w:val="nil"/>
              <w:left w:val="nil"/>
              <w:bottom w:val="single" w:sz="8" w:space="0" w:color="FFFFFF"/>
              <w:right w:val="single" w:sz="8" w:space="0" w:color="FFFFFF"/>
            </w:tcBorders>
            <w:shd w:val="clear" w:color="000000" w:fill="D0CECE"/>
            <w:vAlign w:val="center"/>
            <w:hideMark/>
          </w:tcPr>
          <w:p w14:paraId="2A0320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8.9%</w:t>
            </w:r>
          </w:p>
        </w:tc>
        <w:tc>
          <w:tcPr>
            <w:tcW w:w="885" w:type="dxa"/>
            <w:tcBorders>
              <w:top w:val="nil"/>
              <w:left w:val="nil"/>
              <w:bottom w:val="single" w:sz="8" w:space="0" w:color="FFFFFF"/>
              <w:right w:val="single" w:sz="8" w:space="0" w:color="FFFFFF"/>
            </w:tcBorders>
            <w:shd w:val="clear" w:color="000000" w:fill="D0CECE"/>
            <w:vAlign w:val="center"/>
            <w:hideMark/>
          </w:tcPr>
          <w:p w14:paraId="5502C98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w:t>
            </w:r>
          </w:p>
        </w:tc>
        <w:tc>
          <w:tcPr>
            <w:tcW w:w="885" w:type="dxa"/>
            <w:tcBorders>
              <w:top w:val="nil"/>
              <w:left w:val="nil"/>
              <w:bottom w:val="single" w:sz="8" w:space="0" w:color="FFFFFF"/>
              <w:right w:val="single" w:sz="8" w:space="0" w:color="FFFFFF"/>
            </w:tcBorders>
            <w:shd w:val="clear" w:color="000000" w:fill="D0CECE"/>
            <w:vAlign w:val="center"/>
            <w:hideMark/>
          </w:tcPr>
          <w:p w14:paraId="66FA49F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9.6%</w:t>
            </w:r>
          </w:p>
        </w:tc>
        <w:tc>
          <w:tcPr>
            <w:tcW w:w="885" w:type="dxa"/>
            <w:tcBorders>
              <w:top w:val="nil"/>
              <w:left w:val="nil"/>
              <w:bottom w:val="single" w:sz="8" w:space="0" w:color="FFFFFF"/>
              <w:right w:val="single" w:sz="8" w:space="0" w:color="FFFFFF"/>
            </w:tcBorders>
            <w:shd w:val="clear" w:color="000000" w:fill="D0CECE"/>
            <w:vAlign w:val="center"/>
            <w:hideMark/>
          </w:tcPr>
          <w:p w14:paraId="2AF531B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10.1%</w:t>
            </w:r>
          </w:p>
        </w:tc>
      </w:tr>
      <w:tr w:rsidR="00F31CFA" w:rsidRPr="00F31CFA" w14:paraId="17A2FFA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FEF6F30"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Wales</w:t>
            </w:r>
          </w:p>
        </w:tc>
        <w:tc>
          <w:tcPr>
            <w:tcW w:w="885" w:type="dxa"/>
            <w:tcBorders>
              <w:top w:val="nil"/>
              <w:left w:val="nil"/>
              <w:bottom w:val="single" w:sz="8" w:space="0" w:color="FFFFFF"/>
              <w:right w:val="single" w:sz="8" w:space="0" w:color="FFFFFF"/>
            </w:tcBorders>
            <w:shd w:val="clear" w:color="000000" w:fill="E7EEEF"/>
            <w:vAlign w:val="center"/>
            <w:hideMark/>
          </w:tcPr>
          <w:p w14:paraId="4F89791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E7EEEF"/>
            <w:vAlign w:val="center"/>
            <w:hideMark/>
          </w:tcPr>
          <w:p w14:paraId="67F7AD3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6.5%</w:t>
            </w:r>
          </w:p>
        </w:tc>
        <w:tc>
          <w:tcPr>
            <w:tcW w:w="885" w:type="dxa"/>
            <w:tcBorders>
              <w:top w:val="nil"/>
              <w:left w:val="nil"/>
              <w:bottom w:val="single" w:sz="8" w:space="0" w:color="FFFFFF"/>
              <w:right w:val="single" w:sz="8" w:space="0" w:color="FFFFFF"/>
            </w:tcBorders>
            <w:shd w:val="clear" w:color="000000" w:fill="E7EEEF"/>
            <w:vAlign w:val="center"/>
            <w:hideMark/>
          </w:tcPr>
          <w:p w14:paraId="23BDF25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4.7%</w:t>
            </w:r>
          </w:p>
        </w:tc>
        <w:tc>
          <w:tcPr>
            <w:tcW w:w="885" w:type="dxa"/>
            <w:tcBorders>
              <w:top w:val="nil"/>
              <w:left w:val="nil"/>
              <w:bottom w:val="single" w:sz="8" w:space="0" w:color="FFFFFF"/>
              <w:right w:val="single" w:sz="8" w:space="0" w:color="FFFFFF"/>
            </w:tcBorders>
            <w:shd w:val="clear" w:color="000000" w:fill="E7EEEF"/>
            <w:vAlign w:val="center"/>
            <w:hideMark/>
          </w:tcPr>
          <w:p w14:paraId="49071D7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4.5%</w:t>
            </w:r>
          </w:p>
        </w:tc>
        <w:tc>
          <w:tcPr>
            <w:tcW w:w="885" w:type="dxa"/>
            <w:tcBorders>
              <w:top w:val="nil"/>
              <w:left w:val="nil"/>
              <w:bottom w:val="single" w:sz="8" w:space="0" w:color="FFFFFF"/>
              <w:right w:val="single" w:sz="8" w:space="0" w:color="FFFFFF"/>
            </w:tcBorders>
            <w:shd w:val="clear" w:color="000000" w:fill="E7EEEF"/>
            <w:vAlign w:val="center"/>
            <w:hideMark/>
          </w:tcPr>
          <w:p w14:paraId="310255F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5.7%</w:t>
            </w:r>
          </w:p>
        </w:tc>
        <w:tc>
          <w:tcPr>
            <w:tcW w:w="885" w:type="dxa"/>
            <w:tcBorders>
              <w:top w:val="nil"/>
              <w:left w:val="nil"/>
              <w:bottom w:val="single" w:sz="8" w:space="0" w:color="FFFFFF"/>
              <w:right w:val="single" w:sz="8" w:space="0" w:color="FFFFFF"/>
            </w:tcBorders>
            <w:shd w:val="clear" w:color="000000" w:fill="E7EEEF"/>
            <w:vAlign w:val="center"/>
            <w:hideMark/>
          </w:tcPr>
          <w:p w14:paraId="41A8C8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4.5%</w:t>
            </w:r>
          </w:p>
        </w:tc>
        <w:tc>
          <w:tcPr>
            <w:tcW w:w="885" w:type="dxa"/>
            <w:tcBorders>
              <w:top w:val="nil"/>
              <w:left w:val="nil"/>
              <w:bottom w:val="single" w:sz="8" w:space="0" w:color="FFFFFF"/>
              <w:right w:val="single" w:sz="8" w:space="0" w:color="FFFFFF"/>
            </w:tcBorders>
            <w:shd w:val="clear" w:color="000000" w:fill="E7EEEF"/>
            <w:vAlign w:val="center"/>
            <w:hideMark/>
          </w:tcPr>
          <w:p w14:paraId="0324E7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3.2%</w:t>
            </w:r>
          </w:p>
        </w:tc>
        <w:tc>
          <w:tcPr>
            <w:tcW w:w="885" w:type="dxa"/>
            <w:tcBorders>
              <w:top w:val="nil"/>
              <w:left w:val="nil"/>
              <w:bottom w:val="single" w:sz="8" w:space="0" w:color="FFFFFF"/>
              <w:right w:val="single" w:sz="8" w:space="0" w:color="FFFFFF"/>
            </w:tcBorders>
            <w:shd w:val="clear" w:color="000000" w:fill="E7EEEF"/>
            <w:vAlign w:val="center"/>
            <w:hideMark/>
          </w:tcPr>
          <w:p w14:paraId="39CD64D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3.0%</w:t>
            </w:r>
          </w:p>
        </w:tc>
      </w:tr>
      <w:tr w:rsidR="00F31CFA" w:rsidRPr="00F31CFA" w14:paraId="4BAC1EA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35745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Northern Ireland</w:t>
            </w:r>
          </w:p>
        </w:tc>
        <w:tc>
          <w:tcPr>
            <w:tcW w:w="885" w:type="dxa"/>
            <w:tcBorders>
              <w:top w:val="nil"/>
              <w:left w:val="nil"/>
              <w:bottom w:val="single" w:sz="8" w:space="0" w:color="FFFFFF"/>
              <w:right w:val="single" w:sz="8" w:space="0" w:color="FFFFFF"/>
            </w:tcBorders>
            <w:shd w:val="clear" w:color="000000" w:fill="D0CECE"/>
            <w:vAlign w:val="center"/>
            <w:hideMark/>
          </w:tcPr>
          <w:p w14:paraId="14BD17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354BD5A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394F8F5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3C3A5D7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261F55F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1B3110F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4464845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85" w:type="dxa"/>
            <w:tcBorders>
              <w:top w:val="nil"/>
              <w:left w:val="nil"/>
              <w:bottom w:val="single" w:sz="8" w:space="0" w:color="FFFFFF"/>
              <w:right w:val="single" w:sz="8" w:space="0" w:color="FFFFFF"/>
            </w:tcBorders>
            <w:shd w:val="clear" w:color="000000" w:fill="D0CECE"/>
            <w:vAlign w:val="center"/>
            <w:hideMark/>
          </w:tcPr>
          <w:p w14:paraId="5F3692D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r>
      <w:tr w:rsidR="00F31CFA" w:rsidRPr="00F31CFA" w14:paraId="60F64B8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25205FEF"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of England</w:t>
            </w:r>
          </w:p>
        </w:tc>
        <w:tc>
          <w:tcPr>
            <w:tcW w:w="885" w:type="dxa"/>
            <w:tcBorders>
              <w:top w:val="nil"/>
              <w:left w:val="nil"/>
              <w:bottom w:val="single" w:sz="8" w:space="0" w:color="FFFFFF"/>
              <w:right w:val="single" w:sz="8" w:space="0" w:color="FFFFFF"/>
            </w:tcBorders>
            <w:shd w:val="clear" w:color="000000" w:fill="E7EEEF"/>
            <w:vAlign w:val="center"/>
            <w:hideMark/>
          </w:tcPr>
          <w:p w14:paraId="660D0BF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16.6%</w:t>
            </w:r>
          </w:p>
        </w:tc>
        <w:tc>
          <w:tcPr>
            <w:tcW w:w="885" w:type="dxa"/>
            <w:tcBorders>
              <w:top w:val="nil"/>
              <w:left w:val="nil"/>
              <w:bottom w:val="single" w:sz="8" w:space="0" w:color="FFFFFF"/>
              <w:right w:val="single" w:sz="8" w:space="0" w:color="FFFFFF"/>
            </w:tcBorders>
            <w:shd w:val="clear" w:color="000000" w:fill="E7EEEF"/>
            <w:vAlign w:val="center"/>
            <w:hideMark/>
          </w:tcPr>
          <w:p w14:paraId="1D901EA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15.2%</w:t>
            </w:r>
          </w:p>
        </w:tc>
        <w:tc>
          <w:tcPr>
            <w:tcW w:w="885" w:type="dxa"/>
            <w:tcBorders>
              <w:top w:val="nil"/>
              <w:left w:val="nil"/>
              <w:bottom w:val="single" w:sz="8" w:space="0" w:color="FFFFFF"/>
              <w:right w:val="single" w:sz="8" w:space="0" w:color="FFFFFF"/>
            </w:tcBorders>
            <w:shd w:val="clear" w:color="000000" w:fill="E7EEEF"/>
            <w:vAlign w:val="center"/>
            <w:hideMark/>
          </w:tcPr>
          <w:p w14:paraId="3CF3C68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16.7%</w:t>
            </w:r>
          </w:p>
        </w:tc>
        <w:tc>
          <w:tcPr>
            <w:tcW w:w="885" w:type="dxa"/>
            <w:tcBorders>
              <w:top w:val="nil"/>
              <w:left w:val="nil"/>
              <w:bottom w:val="single" w:sz="8" w:space="0" w:color="FFFFFF"/>
              <w:right w:val="single" w:sz="8" w:space="0" w:color="FFFFFF"/>
            </w:tcBorders>
            <w:shd w:val="clear" w:color="000000" w:fill="E7EEEF"/>
            <w:vAlign w:val="center"/>
            <w:hideMark/>
          </w:tcPr>
          <w:p w14:paraId="6F14F4A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14.7%</w:t>
            </w:r>
          </w:p>
        </w:tc>
        <w:tc>
          <w:tcPr>
            <w:tcW w:w="885" w:type="dxa"/>
            <w:tcBorders>
              <w:top w:val="nil"/>
              <w:left w:val="nil"/>
              <w:bottom w:val="single" w:sz="8" w:space="0" w:color="FFFFFF"/>
              <w:right w:val="single" w:sz="8" w:space="0" w:color="FFFFFF"/>
            </w:tcBorders>
            <w:shd w:val="clear" w:color="000000" w:fill="E7EEEF"/>
            <w:vAlign w:val="center"/>
            <w:hideMark/>
          </w:tcPr>
          <w:p w14:paraId="11FB687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15.0%</w:t>
            </w:r>
          </w:p>
        </w:tc>
        <w:tc>
          <w:tcPr>
            <w:tcW w:w="885" w:type="dxa"/>
            <w:tcBorders>
              <w:top w:val="nil"/>
              <w:left w:val="nil"/>
              <w:bottom w:val="single" w:sz="8" w:space="0" w:color="FFFFFF"/>
              <w:right w:val="single" w:sz="8" w:space="0" w:color="FFFFFF"/>
            </w:tcBorders>
            <w:shd w:val="clear" w:color="000000" w:fill="E7EEEF"/>
            <w:vAlign w:val="center"/>
            <w:hideMark/>
          </w:tcPr>
          <w:p w14:paraId="74E2779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13.5%</w:t>
            </w:r>
          </w:p>
        </w:tc>
        <w:tc>
          <w:tcPr>
            <w:tcW w:w="885" w:type="dxa"/>
            <w:tcBorders>
              <w:top w:val="nil"/>
              <w:left w:val="nil"/>
              <w:bottom w:val="single" w:sz="8" w:space="0" w:color="FFFFFF"/>
              <w:right w:val="single" w:sz="8" w:space="0" w:color="FFFFFF"/>
            </w:tcBorders>
            <w:shd w:val="clear" w:color="000000" w:fill="E7EEEF"/>
            <w:vAlign w:val="center"/>
            <w:hideMark/>
          </w:tcPr>
          <w:p w14:paraId="2F11B83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14.9%</w:t>
            </w:r>
          </w:p>
        </w:tc>
        <w:tc>
          <w:tcPr>
            <w:tcW w:w="885" w:type="dxa"/>
            <w:tcBorders>
              <w:top w:val="nil"/>
              <w:left w:val="nil"/>
              <w:bottom w:val="single" w:sz="8" w:space="0" w:color="FFFFFF"/>
              <w:right w:val="single" w:sz="8" w:space="0" w:color="FFFFFF"/>
            </w:tcBorders>
            <w:shd w:val="clear" w:color="000000" w:fill="E7EEEF"/>
            <w:vAlign w:val="center"/>
            <w:hideMark/>
          </w:tcPr>
          <w:p w14:paraId="55D4D4D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16.0%</w:t>
            </w:r>
          </w:p>
        </w:tc>
      </w:tr>
      <w:tr w:rsidR="00F31CFA" w:rsidRPr="00F31CFA" w14:paraId="3A80987C"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3BBFA1E"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Midlands</w:t>
            </w:r>
          </w:p>
        </w:tc>
        <w:tc>
          <w:tcPr>
            <w:tcW w:w="885" w:type="dxa"/>
            <w:tcBorders>
              <w:top w:val="nil"/>
              <w:left w:val="nil"/>
              <w:bottom w:val="single" w:sz="8" w:space="0" w:color="FFFFFF"/>
              <w:right w:val="single" w:sz="8" w:space="0" w:color="FFFFFF"/>
            </w:tcBorders>
            <w:shd w:val="clear" w:color="000000" w:fill="D0CECE"/>
            <w:vAlign w:val="center"/>
            <w:hideMark/>
          </w:tcPr>
          <w:p w14:paraId="3D7731B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20BABA4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368A1C1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6B64DC2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w:t>
            </w:r>
          </w:p>
        </w:tc>
        <w:tc>
          <w:tcPr>
            <w:tcW w:w="885" w:type="dxa"/>
            <w:tcBorders>
              <w:top w:val="nil"/>
              <w:left w:val="nil"/>
              <w:bottom w:val="single" w:sz="8" w:space="0" w:color="FFFFFF"/>
              <w:right w:val="single" w:sz="8" w:space="0" w:color="FFFFFF"/>
            </w:tcBorders>
            <w:shd w:val="clear" w:color="000000" w:fill="D0CECE"/>
            <w:vAlign w:val="center"/>
            <w:hideMark/>
          </w:tcPr>
          <w:p w14:paraId="175E7B5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1EADA04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05EA931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D0CECE"/>
            <w:vAlign w:val="center"/>
            <w:hideMark/>
          </w:tcPr>
          <w:p w14:paraId="1318D3C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w:t>
            </w:r>
          </w:p>
        </w:tc>
      </w:tr>
      <w:tr w:rsidR="00F31CFA" w:rsidRPr="00F31CFA" w14:paraId="6D43F15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7266B32C"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London</w:t>
            </w:r>
          </w:p>
        </w:tc>
        <w:tc>
          <w:tcPr>
            <w:tcW w:w="885" w:type="dxa"/>
            <w:tcBorders>
              <w:top w:val="nil"/>
              <w:left w:val="nil"/>
              <w:bottom w:val="single" w:sz="8" w:space="0" w:color="FFFFFF"/>
              <w:right w:val="single" w:sz="8" w:space="0" w:color="FFFFFF"/>
            </w:tcBorders>
            <w:shd w:val="clear" w:color="000000" w:fill="E7EEEF"/>
            <w:vAlign w:val="center"/>
            <w:hideMark/>
          </w:tcPr>
          <w:p w14:paraId="68F48EE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85" w:type="dxa"/>
            <w:tcBorders>
              <w:top w:val="nil"/>
              <w:left w:val="nil"/>
              <w:bottom w:val="single" w:sz="8" w:space="0" w:color="FFFFFF"/>
              <w:right w:val="single" w:sz="8" w:space="0" w:color="FFFFFF"/>
            </w:tcBorders>
            <w:shd w:val="clear" w:color="000000" w:fill="E7EEEF"/>
            <w:vAlign w:val="center"/>
            <w:hideMark/>
          </w:tcPr>
          <w:p w14:paraId="091C025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85" w:type="dxa"/>
            <w:tcBorders>
              <w:top w:val="nil"/>
              <w:left w:val="nil"/>
              <w:bottom w:val="single" w:sz="8" w:space="0" w:color="FFFFFF"/>
              <w:right w:val="single" w:sz="8" w:space="0" w:color="FFFFFF"/>
            </w:tcBorders>
            <w:shd w:val="clear" w:color="000000" w:fill="E7EEEF"/>
            <w:vAlign w:val="center"/>
            <w:hideMark/>
          </w:tcPr>
          <w:p w14:paraId="1291F70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9.4%</w:t>
            </w:r>
          </w:p>
        </w:tc>
        <w:tc>
          <w:tcPr>
            <w:tcW w:w="885" w:type="dxa"/>
            <w:tcBorders>
              <w:top w:val="nil"/>
              <w:left w:val="nil"/>
              <w:bottom w:val="single" w:sz="8" w:space="0" w:color="FFFFFF"/>
              <w:right w:val="single" w:sz="8" w:space="0" w:color="FFFFFF"/>
            </w:tcBorders>
            <w:shd w:val="clear" w:color="000000" w:fill="E7EEEF"/>
            <w:vAlign w:val="center"/>
            <w:hideMark/>
          </w:tcPr>
          <w:p w14:paraId="04BEAF5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85" w:type="dxa"/>
            <w:tcBorders>
              <w:top w:val="nil"/>
              <w:left w:val="nil"/>
              <w:bottom w:val="single" w:sz="8" w:space="0" w:color="FFFFFF"/>
              <w:right w:val="single" w:sz="8" w:space="0" w:color="FFFFFF"/>
            </w:tcBorders>
            <w:shd w:val="clear" w:color="000000" w:fill="E7EEEF"/>
            <w:vAlign w:val="center"/>
            <w:hideMark/>
          </w:tcPr>
          <w:p w14:paraId="2258A63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7.3%</w:t>
            </w:r>
          </w:p>
        </w:tc>
        <w:tc>
          <w:tcPr>
            <w:tcW w:w="885" w:type="dxa"/>
            <w:tcBorders>
              <w:top w:val="nil"/>
              <w:left w:val="nil"/>
              <w:bottom w:val="single" w:sz="8" w:space="0" w:color="FFFFFF"/>
              <w:right w:val="single" w:sz="8" w:space="0" w:color="FFFFFF"/>
            </w:tcBorders>
            <w:shd w:val="clear" w:color="000000" w:fill="E7EEEF"/>
            <w:vAlign w:val="center"/>
            <w:hideMark/>
          </w:tcPr>
          <w:p w14:paraId="3DED8C7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85" w:type="dxa"/>
            <w:tcBorders>
              <w:top w:val="nil"/>
              <w:left w:val="nil"/>
              <w:bottom w:val="single" w:sz="8" w:space="0" w:color="FFFFFF"/>
              <w:right w:val="single" w:sz="8" w:space="0" w:color="FFFFFF"/>
            </w:tcBorders>
            <w:shd w:val="clear" w:color="000000" w:fill="E7EEEF"/>
            <w:vAlign w:val="center"/>
            <w:hideMark/>
          </w:tcPr>
          <w:p w14:paraId="5D33383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85" w:type="dxa"/>
            <w:tcBorders>
              <w:top w:val="nil"/>
              <w:left w:val="nil"/>
              <w:bottom w:val="single" w:sz="8" w:space="0" w:color="FFFFFF"/>
              <w:right w:val="single" w:sz="8" w:space="0" w:color="FFFFFF"/>
            </w:tcBorders>
            <w:shd w:val="clear" w:color="000000" w:fill="E7EEEF"/>
            <w:vAlign w:val="center"/>
            <w:hideMark/>
          </w:tcPr>
          <w:p w14:paraId="1100F85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4.7%</w:t>
            </w:r>
          </w:p>
        </w:tc>
      </w:tr>
      <w:tr w:rsidR="00F31CFA" w:rsidRPr="00F31CFA" w14:paraId="305F1305"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28E078B"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East</w:t>
            </w:r>
          </w:p>
        </w:tc>
        <w:tc>
          <w:tcPr>
            <w:tcW w:w="885" w:type="dxa"/>
            <w:tcBorders>
              <w:top w:val="nil"/>
              <w:left w:val="nil"/>
              <w:bottom w:val="single" w:sz="8" w:space="0" w:color="FFFFFF"/>
              <w:right w:val="single" w:sz="8" w:space="0" w:color="FFFFFF"/>
            </w:tcBorders>
            <w:shd w:val="clear" w:color="000000" w:fill="D0CECE"/>
            <w:vAlign w:val="center"/>
            <w:hideMark/>
          </w:tcPr>
          <w:p w14:paraId="7DC44C3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10.8%</w:t>
            </w:r>
          </w:p>
        </w:tc>
        <w:tc>
          <w:tcPr>
            <w:tcW w:w="885" w:type="dxa"/>
            <w:tcBorders>
              <w:top w:val="nil"/>
              <w:left w:val="nil"/>
              <w:bottom w:val="single" w:sz="8" w:space="0" w:color="FFFFFF"/>
              <w:right w:val="single" w:sz="8" w:space="0" w:color="FFFFFF"/>
            </w:tcBorders>
            <w:shd w:val="clear" w:color="000000" w:fill="D0CECE"/>
            <w:vAlign w:val="center"/>
            <w:hideMark/>
          </w:tcPr>
          <w:p w14:paraId="6EACC95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10.2%</w:t>
            </w:r>
          </w:p>
        </w:tc>
        <w:tc>
          <w:tcPr>
            <w:tcW w:w="885" w:type="dxa"/>
            <w:tcBorders>
              <w:top w:val="nil"/>
              <w:left w:val="nil"/>
              <w:bottom w:val="single" w:sz="8" w:space="0" w:color="FFFFFF"/>
              <w:right w:val="single" w:sz="8" w:space="0" w:color="FFFFFF"/>
            </w:tcBorders>
            <w:shd w:val="clear" w:color="000000" w:fill="D0CECE"/>
            <w:vAlign w:val="center"/>
            <w:hideMark/>
          </w:tcPr>
          <w:p w14:paraId="75B44BF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11.9%</w:t>
            </w:r>
          </w:p>
        </w:tc>
        <w:tc>
          <w:tcPr>
            <w:tcW w:w="885" w:type="dxa"/>
            <w:tcBorders>
              <w:top w:val="nil"/>
              <w:left w:val="nil"/>
              <w:bottom w:val="single" w:sz="8" w:space="0" w:color="FFFFFF"/>
              <w:right w:val="single" w:sz="8" w:space="0" w:color="FFFFFF"/>
            </w:tcBorders>
            <w:shd w:val="clear" w:color="000000" w:fill="D0CECE"/>
            <w:vAlign w:val="center"/>
            <w:hideMark/>
          </w:tcPr>
          <w:p w14:paraId="20D43D3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17.0%</w:t>
            </w:r>
          </w:p>
        </w:tc>
        <w:tc>
          <w:tcPr>
            <w:tcW w:w="885" w:type="dxa"/>
            <w:tcBorders>
              <w:top w:val="nil"/>
              <w:left w:val="nil"/>
              <w:bottom w:val="single" w:sz="8" w:space="0" w:color="FFFFFF"/>
              <w:right w:val="single" w:sz="8" w:space="0" w:color="FFFFFF"/>
            </w:tcBorders>
            <w:shd w:val="clear" w:color="000000" w:fill="D0CECE"/>
            <w:vAlign w:val="center"/>
            <w:hideMark/>
          </w:tcPr>
          <w:p w14:paraId="093C6CA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17.4%</w:t>
            </w:r>
          </w:p>
        </w:tc>
        <w:tc>
          <w:tcPr>
            <w:tcW w:w="885" w:type="dxa"/>
            <w:tcBorders>
              <w:top w:val="nil"/>
              <w:left w:val="nil"/>
              <w:bottom w:val="single" w:sz="8" w:space="0" w:color="FFFFFF"/>
              <w:right w:val="single" w:sz="8" w:space="0" w:color="FFFFFF"/>
            </w:tcBorders>
            <w:shd w:val="clear" w:color="000000" w:fill="D0CECE"/>
            <w:vAlign w:val="center"/>
            <w:hideMark/>
          </w:tcPr>
          <w:p w14:paraId="6E1FF83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12.5%</w:t>
            </w:r>
          </w:p>
        </w:tc>
        <w:tc>
          <w:tcPr>
            <w:tcW w:w="885" w:type="dxa"/>
            <w:tcBorders>
              <w:top w:val="nil"/>
              <w:left w:val="nil"/>
              <w:bottom w:val="single" w:sz="8" w:space="0" w:color="FFFFFF"/>
              <w:right w:val="single" w:sz="8" w:space="0" w:color="FFFFFF"/>
            </w:tcBorders>
            <w:shd w:val="clear" w:color="000000" w:fill="D0CECE"/>
            <w:vAlign w:val="center"/>
            <w:hideMark/>
          </w:tcPr>
          <w:p w14:paraId="5B82116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10.7%</w:t>
            </w:r>
          </w:p>
        </w:tc>
        <w:tc>
          <w:tcPr>
            <w:tcW w:w="885" w:type="dxa"/>
            <w:tcBorders>
              <w:top w:val="nil"/>
              <w:left w:val="nil"/>
              <w:bottom w:val="single" w:sz="8" w:space="0" w:color="FFFFFF"/>
              <w:right w:val="single" w:sz="8" w:space="0" w:color="FFFFFF"/>
            </w:tcBorders>
            <w:shd w:val="clear" w:color="000000" w:fill="D0CECE"/>
            <w:vAlign w:val="center"/>
            <w:hideMark/>
          </w:tcPr>
          <w:p w14:paraId="27E2518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7.1%</w:t>
            </w:r>
          </w:p>
        </w:tc>
      </w:tr>
      <w:tr w:rsidR="00F31CFA" w:rsidRPr="00F31CFA" w14:paraId="30648B81"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4A69724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West</w:t>
            </w:r>
          </w:p>
        </w:tc>
        <w:tc>
          <w:tcPr>
            <w:tcW w:w="885" w:type="dxa"/>
            <w:tcBorders>
              <w:top w:val="nil"/>
              <w:left w:val="nil"/>
              <w:bottom w:val="single" w:sz="8" w:space="0" w:color="FFFFFF"/>
              <w:right w:val="single" w:sz="8" w:space="0" w:color="FFFFFF"/>
            </w:tcBorders>
            <w:shd w:val="clear" w:color="000000" w:fill="E7EEEF"/>
            <w:vAlign w:val="center"/>
            <w:hideMark/>
          </w:tcPr>
          <w:p w14:paraId="4A51978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85" w:type="dxa"/>
            <w:tcBorders>
              <w:top w:val="nil"/>
              <w:left w:val="nil"/>
              <w:bottom w:val="single" w:sz="8" w:space="0" w:color="FFFFFF"/>
              <w:right w:val="single" w:sz="8" w:space="0" w:color="FFFFFF"/>
            </w:tcBorders>
            <w:shd w:val="clear" w:color="000000" w:fill="E7EEEF"/>
            <w:vAlign w:val="center"/>
            <w:hideMark/>
          </w:tcPr>
          <w:p w14:paraId="372F2DC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E7EEEF"/>
            <w:vAlign w:val="center"/>
            <w:hideMark/>
          </w:tcPr>
          <w:p w14:paraId="27FBD7F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6.9%</w:t>
            </w:r>
          </w:p>
        </w:tc>
        <w:tc>
          <w:tcPr>
            <w:tcW w:w="885" w:type="dxa"/>
            <w:tcBorders>
              <w:top w:val="nil"/>
              <w:left w:val="nil"/>
              <w:bottom w:val="single" w:sz="8" w:space="0" w:color="FFFFFF"/>
              <w:right w:val="single" w:sz="8" w:space="0" w:color="FFFFFF"/>
            </w:tcBorders>
            <w:shd w:val="clear" w:color="000000" w:fill="E7EEEF"/>
            <w:vAlign w:val="center"/>
            <w:hideMark/>
          </w:tcPr>
          <w:p w14:paraId="0398690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8.4%</w:t>
            </w:r>
          </w:p>
        </w:tc>
        <w:tc>
          <w:tcPr>
            <w:tcW w:w="885" w:type="dxa"/>
            <w:tcBorders>
              <w:top w:val="nil"/>
              <w:left w:val="nil"/>
              <w:bottom w:val="single" w:sz="8" w:space="0" w:color="FFFFFF"/>
              <w:right w:val="single" w:sz="8" w:space="0" w:color="FFFFFF"/>
            </w:tcBorders>
            <w:shd w:val="clear" w:color="000000" w:fill="E7EEEF"/>
            <w:vAlign w:val="center"/>
            <w:hideMark/>
          </w:tcPr>
          <w:p w14:paraId="090142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85" w:type="dxa"/>
            <w:tcBorders>
              <w:top w:val="nil"/>
              <w:left w:val="nil"/>
              <w:bottom w:val="single" w:sz="8" w:space="0" w:color="FFFFFF"/>
              <w:right w:val="single" w:sz="8" w:space="0" w:color="FFFFFF"/>
            </w:tcBorders>
            <w:shd w:val="clear" w:color="000000" w:fill="E7EEEF"/>
            <w:vAlign w:val="center"/>
            <w:hideMark/>
          </w:tcPr>
          <w:p w14:paraId="1060FB0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7389E1F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9.0%</w:t>
            </w:r>
          </w:p>
        </w:tc>
        <w:tc>
          <w:tcPr>
            <w:tcW w:w="885" w:type="dxa"/>
            <w:tcBorders>
              <w:top w:val="nil"/>
              <w:left w:val="nil"/>
              <w:bottom w:val="single" w:sz="8" w:space="0" w:color="FFFFFF"/>
              <w:right w:val="single" w:sz="8" w:space="0" w:color="FFFFFF"/>
            </w:tcBorders>
            <w:shd w:val="clear" w:color="000000" w:fill="E7EEEF"/>
            <w:vAlign w:val="center"/>
            <w:hideMark/>
          </w:tcPr>
          <w:p w14:paraId="0BAE14E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r>
      <w:tr w:rsidR="00F31CFA" w:rsidRPr="00F31CFA" w14:paraId="60318B73"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1C48A670"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East</w:t>
            </w:r>
          </w:p>
        </w:tc>
        <w:tc>
          <w:tcPr>
            <w:tcW w:w="885" w:type="dxa"/>
            <w:tcBorders>
              <w:top w:val="nil"/>
              <w:left w:val="nil"/>
              <w:bottom w:val="single" w:sz="8" w:space="0" w:color="FFFFFF"/>
              <w:right w:val="single" w:sz="8" w:space="0" w:color="FFFFFF"/>
            </w:tcBorders>
            <w:shd w:val="clear" w:color="000000" w:fill="D0CECE"/>
            <w:vAlign w:val="center"/>
            <w:hideMark/>
          </w:tcPr>
          <w:p w14:paraId="2A25D0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15.0%</w:t>
            </w:r>
          </w:p>
        </w:tc>
        <w:tc>
          <w:tcPr>
            <w:tcW w:w="885" w:type="dxa"/>
            <w:tcBorders>
              <w:top w:val="nil"/>
              <w:left w:val="nil"/>
              <w:bottom w:val="single" w:sz="8" w:space="0" w:color="FFFFFF"/>
              <w:right w:val="single" w:sz="8" w:space="0" w:color="FFFFFF"/>
            </w:tcBorders>
            <w:shd w:val="clear" w:color="000000" w:fill="D0CECE"/>
            <w:vAlign w:val="center"/>
            <w:hideMark/>
          </w:tcPr>
          <w:p w14:paraId="07C0B3D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14.4%</w:t>
            </w:r>
          </w:p>
        </w:tc>
        <w:tc>
          <w:tcPr>
            <w:tcW w:w="885" w:type="dxa"/>
            <w:tcBorders>
              <w:top w:val="nil"/>
              <w:left w:val="nil"/>
              <w:bottom w:val="single" w:sz="8" w:space="0" w:color="FFFFFF"/>
              <w:right w:val="single" w:sz="8" w:space="0" w:color="FFFFFF"/>
            </w:tcBorders>
            <w:shd w:val="clear" w:color="000000" w:fill="D0CECE"/>
            <w:vAlign w:val="center"/>
            <w:hideMark/>
          </w:tcPr>
          <w:p w14:paraId="06BEDC7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15.6%</w:t>
            </w:r>
          </w:p>
        </w:tc>
        <w:tc>
          <w:tcPr>
            <w:tcW w:w="885" w:type="dxa"/>
            <w:tcBorders>
              <w:top w:val="nil"/>
              <w:left w:val="nil"/>
              <w:bottom w:val="single" w:sz="8" w:space="0" w:color="FFFFFF"/>
              <w:right w:val="single" w:sz="8" w:space="0" w:color="FFFFFF"/>
            </w:tcBorders>
            <w:shd w:val="clear" w:color="000000" w:fill="D0CECE"/>
            <w:vAlign w:val="center"/>
            <w:hideMark/>
          </w:tcPr>
          <w:p w14:paraId="631BEFD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12.7%</w:t>
            </w:r>
          </w:p>
        </w:tc>
        <w:tc>
          <w:tcPr>
            <w:tcW w:w="885" w:type="dxa"/>
            <w:tcBorders>
              <w:top w:val="nil"/>
              <w:left w:val="nil"/>
              <w:bottom w:val="single" w:sz="8" w:space="0" w:color="FFFFFF"/>
              <w:right w:val="single" w:sz="8" w:space="0" w:color="FFFFFF"/>
            </w:tcBorders>
            <w:shd w:val="clear" w:color="000000" w:fill="D0CECE"/>
            <w:vAlign w:val="center"/>
            <w:hideMark/>
          </w:tcPr>
          <w:p w14:paraId="41CD9AB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17.4%</w:t>
            </w:r>
          </w:p>
        </w:tc>
        <w:tc>
          <w:tcPr>
            <w:tcW w:w="885" w:type="dxa"/>
            <w:tcBorders>
              <w:top w:val="nil"/>
              <w:left w:val="nil"/>
              <w:bottom w:val="single" w:sz="8" w:space="0" w:color="FFFFFF"/>
              <w:right w:val="single" w:sz="8" w:space="0" w:color="FFFFFF"/>
            </w:tcBorders>
            <w:shd w:val="clear" w:color="000000" w:fill="D0CECE"/>
            <w:vAlign w:val="center"/>
            <w:hideMark/>
          </w:tcPr>
          <w:p w14:paraId="07B56FD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20.8%</w:t>
            </w:r>
          </w:p>
        </w:tc>
        <w:tc>
          <w:tcPr>
            <w:tcW w:w="885" w:type="dxa"/>
            <w:tcBorders>
              <w:top w:val="nil"/>
              <w:left w:val="nil"/>
              <w:bottom w:val="single" w:sz="8" w:space="0" w:color="FFFFFF"/>
              <w:right w:val="single" w:sz="8" w:space="0" w:color="FFFFFF"/>
            </w:tcBorders>
            <w:shd w:val="clear" w:color="000000" w:fill="D0CECE"/>
            <w:vAlign w:val="center"/>
            <w:hideMark/>
          </w:tcPr>
          <w:p w14:paraId="569073A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20.5%</w:t>
            </w:r>
          </w:p>
        </w:tc>
        <w:tc>
          <w:tcPr>
            <w:tcW w:w="885" w:type="dxa"/>
            <w:tcBorders>
              <w:top w:val="nil"/>
              <w:left w:val="nil"/>
              <w:bottom w:val="single" w:sz="8" w:space="0" w:color="FFFFFF"/>
              <w:right w:val="single" w:sz="8" w:space="0" w:color="FFFFFF"/>
            </w:tcBorders>
            <w:shd w:val="clear" w:color="000000" w:fill="D0CECE"/>
            <w:vAlign w:val="center"/>
            <w:hideMark/>
          </w:tcPr>
          <w:p w14:paraId="7EB0D03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25.7%</w:t>
            </w:r>
          </w:p>
        </w:tc>
      </w:tr>
      <w:tr w:rsidR="00F31CFA" w:rsidRPr="00F31CFA" w14:paraId="3137E049"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67BFAC24"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West</w:t>
            </w:r>
          </w:p>
        </w:tc>
        <w:tc>
          <w:tcPr>
            <w:tcW w:w="885" w:type="dxa"/>
            <w:tcBorders>
              <w:top w:val="nil"/>
              <w:left w:val="nil"/>
              <w:bottom w:val="single" w:sz="8" w:space="0" w:color="FFFFFF"/>
              <w:right w:val="single" w:sz="8" w:space="0" w:color="FFFFFF"/>
            </w:tcBorders>
            <w:shd w:val="clear" w:color="000000" w:fill="E7EEEF"/>
            <w:vAlign w:val="center"/>
            <w:hideMark/>
          </w:tcPr>
          <w:p w14:paraId="3F3BDA7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4.9%</w:t>
            </w:r>
          </w:p>
        </w:tc>
        <w:tc>
          <w:tcPr>
            <w:tcW w:w="885" w:type="dxa"/>
            <w:tcBorders>
              <w:top w:val="nil"/>
              <w:left w:val="nil"/>
              <w:bottom w:val="single" w:sz="8" w:space="0" w:color="FFFFFF"/>
              <w:right w:val="single" w:sz="8" w:space="0" w:color="FFFFFF"/>
            </w:tcBorders>
            <w:shd w:val="clear" w:color="000000" w:fill="E7EEEF"/>
            <w:vAlign w:val="center"/>
            <w:hideMark/>
          </w:tcPr>
          <w:p w14:paraId="7638C49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c>
          <w:tcPr>
            <w:tcW w:w="885" w:type="dxa"/>
            <w:tcBorders>
              <w:top w:val="nil"/>
              <w:left w:val="nil"/>
              <w:bottom w:val="single" w:sz="8" w:space="0" w:color="FFFFFF"/>
              <w:right w:val="single" w:sz="8" w:space="0" w:color="FFFFFF"/>
            </w:tcBorders>
            <w:shd w:val="clear" w:color="000000" w:fill="E7EEEF"/>
            <w:vAlign w:val="center"/>
            <w:hideMark/>
          </w:tcPr>
          <w:p w14:paraId="7ADAF25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6.3%</w:t>
            </w:r>
          </w:p>
        </w:tc>
        <w:tc>
          <w:tcPr>
            <w:tcW w:w="885" w:type="dxa"/>
            <w:tcBorders>
              <w:top w:val="nil"/>
              <w:left w:val="nil"/>
              <w:bottom w:val="single" w:sz="8" w:space="0" w:color="FFFFFF"/>
              <w:right w:val="single" w:sz="8" w:space="0" w:color="FFFFFF"/>
            </w:tcBorders>
            <w:shd w:val="clear" w:color="000000" w:fill="E7EEEF"/>
            <w:vAlign w:val="center"/>
            <w:hideMark/>
          </w:tcPr>
          <w:p w14:paraId="3C905F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09B463B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85" w:type="dxa"/>
            <w:tcBorders>
              <w:top w:val="nil"/>
              <w:left w:val="nil"/>
              <w:bottom w:val="single" w:sz="8" w:space="0" w:color="FFFFFF"/>
              <w:right w:val="single" w:sz="8" w:space="0" w:color="FFFFFF"/>
            </w:tcBorders>
            <w:shd w:val="clear" w:color="000000" w:fill="E7EEEF"/>
            <w:vAlign w:val="center"/>
            <w:hideMark/>
          </w:tcPr>
          <w:p w14:paraId="68624FD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85" w:type="dxa"/>
            <w:tcBorders>
              <w:top w:val="nil"/>
              <w:left w:val="nil"/>
              <w:bottom w:val="single" w:sz="8" w:space="0" w:color="FFFFFF"/>
              <w:right w:val="single" w:sz="8" w:space="0" w:color="FFFFFF"/>
            </w:tcBorders>
            <w:shd w:val="clear" w:color="000000" w:fill="E7EEEF"/>
            <w:vAlign w:val="center"/>
            <w:hideMark/>
          </w:tcPr>
          <w:p w14:paraId="1E9D448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4.8%</w:t>
            </w:r>
          </w:p>
        </w:tc>
        <w:tc>
          <w:tcPr>
            <w:tcW w:w="885" w:type="dxa"/>
            <w:tcBorders>
              <w:top w:val="nil"/>
              <w:left w:val="nil"/>
              <w:bottom w:val="single" w:sz="8" w:space="0" w:color="FFFFFF"/>
              <w:right w:val="single" w:sz="8" w:space="0" w:color="FFFFFF"/>
            </w:tcBorders>
            <w:shd w:val="clear" w:color="000000" w:fill="E7EEEF"/>
            <w:vAlign w:val="center"/>
            <w:hideMark/>
          </w:tcPr>
          <w:p w14:paraId="125A674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r>
      <w:tr w:rsidR="00F31CFA" w:rsidRPr="00F31CFA" w14:paraId="2E286023"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47A428C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West Midlands</w:t>
            </w:r>
          </w:p>
        </w:tc>
        <w:tc>
          <w:tcPr>
            <w:tcW w:w="885" w:type="dxa"/>
            <w:tcBorders>
              <w:top w:val="nil"/>
              <w:left w:val="nil"/>
              <w:bottom w:val="single" w:sz="8" w:space="0" w:color="FFFFFF"/>
              <w:right w:val="single" w:sz="8" w:space="0" w:color="FFFFFF"/>
            </w:tcBorders>
            <w:shd w:val="clear" w:color="000000" w:fill="D0CECE"/>
            <w:vAlign w:val="center"/>
            <w:hideMark/>
          </w:tcPr>
          <w:p w14:paraId="7FBD7FC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c>
          <w:tcPr>
            <w:tcW w:w="885" w:type="dxa"/>
            <w:tcBorders>
              <w:top w:val="nil"/>
              <w:left w:val="nil"/>
              <w:bottom w:val="single" w:sz="8" w:space="0" w:color="FFFFFF"/>
              <w:right w:val="single" w:sz="8" w:space="0" w:color="FFFFFF"/>
            </w:tcBorders>
            <w:shd w:val="clear" w:color="000000" w:fill="D0CECE"/>
            <w:vAlign w:val="center"/>
            <w:hideMark/>
          </w:tcPr>
          <w:p w14:paraId="23DD0B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720B5B2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85" w:type="dxa"/>
            <w:tcBorders>
              <w:top w:val="nil"/>
              <w:left w:val="nil"/>
              <w:bottom w:val="single" w:sz="8" w:space="0" w:color="FFFFFF"/>
              <w:right w:val="single" w:sz="8" w:space="0" w:color="FFFFFF"/>
            </w:tcBorders>
            <w:shd w:val="clear" w:color="000000" w:fill="D0CECE"/>
            <w:vAlign w:val="center"/>
            <w:hideMark/>
          </w:tcPr>
          <w:p w14:paraId="38B43D0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75973F4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D0CECE"/>
            <w:vAlign w:val="center"/>
            <w:hideMark/>
          </w:tcPr>
          <w:p w14:paraId="4663E7B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w:t>
            </w:r>
          </w:p>
        </w:tc>
        <w:tc>
          <w:tcPr>
            <w:tcW w:w="885" w:type="dxa"/>
            <w:tcBorders>
              <w:top w:val="nil"/>
              <w:left w:val="nil"/>
              <w:bottom w:val="single" w:sz="8" w:space="0" w:color="FFFFFF"/>
              <w:right w:val="single" w:sz="8" w:space="0" w:color="FFFFFF"/>
            </w:tcBorders>
            <w:shd w:val="clear" w:color="000000" w:fill="D0CECE"/>
            <w:vAlign w:val="center"/>
            <w:hideMark/>
          </w:tcPr>
          <w:p w14:paraId="01BDAF8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85" w:type="dxa"/>
            <w:tcBorders>
              <w:top w:val="nil"/>
              <w:left w:val="nil"/>
              <w:bottom w:val="single" w:sz="8" w:space="0" w:color="FFFFFF"/>
              <w:right w:val="single" w:sz="8" w:space="0" w:color="FFFFFF"/>
            </w:tcBorders>
            <w:shd w:val="clear" w:color="000000" w:fill="D0CECE"/>
            <w:vAlign w:val="center"/>
            <w:hideMark/>
          </w:tcPr>
          <w:p w14:paraId="65028EA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r>
      <w:tr w:rsidR="00F31CFA" w:rsidRPr="00F31CFA" w14:paraId="7F7C9354" w14:textId="77777777" w:rsidTr="00F31CFA">
        <w:trPr>
          <w:trHeight w:val="330"/>
        </w:trPr>
        <w:tc>
          <w:tcPr>
            <w:tcW w:w="2471" w:type="dxa"/>
            <w:tcBorders>
              <w:top w:val="nil"/>
              <w:left w:val="nil"/>
              <w:bottom w:val="single" w:sz="12" w:space="0" w:color="FFFFFF"/>
              <w:right w:val="single" w:sz="8" w:space="0" w:color="FFFFFF"/>
            </w:tcBorders>
            <w:shd w:val="clear" w:color="000000" w:fill="008C9B"/>
            <w:vAlign w:val="center"/>
            <w:hideMark/>
          </w:tcPr>
          <w:p w14:paraId="5DFCEEA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Yorkshire and the Humber</w:t>
            </w:r>
          </w:p>
        </w:tc>
        <w:tc>
          <w:tcPr>
            <w:tcW w:w="885" w:type="dxa"/>
            <w:tcBorders>
              <w:top w:val="nil"/>
              <w:left w:val="nil"/>
              <w:bottom w:val="single" w:sz="8" w:space="0" w:color="FFFFFF"/>
              <w:right w:val="single" w:sz="8" w:space="0" w:color="FFFFFF"/>
            </w:tcBorders>
            <w:shd w:val="clear" w:color="000000" w:fill="E7EEEF"/>
            <w:vAlign w:val="center"/>
            <w:hideMark/>
          </w:tcPr>
          <w:p w14:paraId="4B5CC254"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24.7%</w:t>
            </w:r>
          </w:p>
        </w:tc>
        <w:tc>
          <w:tcPr>
            <w:tcW w:w="885" w:type="dxa"/>
            <w:tcBorders>
              <w:top w:val="nil"/>
              <w:left w:val="nil"/>
              <w:bottom w:val="single" w:sz="8" w:space="0" w:color="FFFFFF"/>
              <w:right w:val="single" w:sz="8" w:space="0" w:color="FFFFFF"/>
            </w:tcBorders>
            <w:shd w:val="clear" w:color="000000" w:fill="E7EEEF"/>
            <w:vAlign w:val="center"/>
            <w:hideMark/>
          </w:tcPr>
          <w:p w14:paraId="4097F0CC"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24.3%</w:t>
            </w:r>
          </w:p>
        </w:tc>
        <w:tc>
          <w:tcPr>
            <w:tcW w:w="885" w:type="dxa"/>
            <w:tcBorders>
              <w:top w:val="nil"/>
              <w:left w:val="nil"/>
              <w:bottom w:val="single" w:sz="8" w:space="0" w:color="FFFFFF"/>
              <w:right w:val="single" w:sz="8" w:space="0" w:color="FFFFFF"/>
            </w:tcBorders>
            <w:shd w:val="clear" w:color="000000" w:fill="E7EEEF"/>
            <w:vAlign w:val="center"/>
            <w:hideMark/>
          </w:tcPr>
          <w:p w14:paraId="1FFDAB9C"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15.7%</w:t>
            </w:r>
          </w:p>
        </w:tc>
        <w:tc>
          <w:tcPr>
            <w:tcW w:w="885" w:type="dxa"/>
            <w:tcBorders>
              <w:top w:val="nil"/>
              <w:left w:val="nil"/>
              <w:bottom w:val="single" w:sz="8" w:space="0" w:color="FFFFFF"/>
              <w:right w:val="single" w:sz="8" w:space="0" w:color="FFFFFF"/>
            </w:tcBorders>
            <w:shd w:val="clear" w:color="000000" w:fill="E7EEEF"/>
            <w:vAlign w:val="center"/>
            <w:hideMark/>
          </w:tcPr>
          <w:p w14:paraId="61AD4FE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14.6%</w:t>
            </w:r>
          </w:p>
        </w:tc>
        <w:tc>
          <w:tcPr>
            <w:tcW w:w="885" w:type="dxa"/>
            <w:tcBorders>
              <w:top w:val="nil"/>
              <w:left w:val="nil"/>
              <w:bottom w:val="single" w:sz="8" w:space="0" w:color="FFFFFF"/>
              <w:right w:val="single" w:sz="8" w:space="0" w:color="FFFFFF"/>
            </w:tcBorders>
            <w:shd w:val="clear" w:color="000000" w:fill="E7EEEF"/>
            <w:vAlign w:val="center"/>
            <w:hideMark/>
          </w:tcPr>
          <w:p w14:paraId="50DFD8D1"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12.2%</w:t>
            </w:r>
          </w:p>
        </w:tc>
        <w:tc>
          <w:tcPr>
            <w:tcW w:w="885" w:type="dxa"/>
            <w:tcBorders>
              <w:top w:val="nil"/>
              <w:left w:val="nil"/>
              <w:bottom w:val="single" w:sz="8" w:space="0" w:color="FFFFFF"/>
              <w:right w:val="single" w:sz="8" w:space="0" w:color="FFFFFF"/>
            </w:tcBorders>
            <w:shd w:val="clear" w:color="000000" w:fill="E7EEEF"/>
            <w:vAlign w:val="center"/>
            <w:hideMark/>
          </w:tcPr>
          <w:p w14:paraId="368D99BA"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15.2%</w:t>
            </w:r>
          </w:p>
        </w:tc>
        <w:tc>
          <w:tcPr>
            <w:tcW w:w="885" w:type="dxa"/>
            <w:tcBorders>
              <w:top w:val="nil"/>
              <w:left w:val="nil"/>
              <w:bottom w:val="single" w:sz="8" w:space="0" w:color="FFFFFF"/>
              <w:right w:val="single" w:sz="8" w:space="0" w:color="FFFFFF"/>
            </w:tcBorders>
            <w:shd w:val="clear" w:color="000000" w:fill="E7EEEF"/>
            <w:vAlign w:val="center"/>
            <w:hideMark/>
          </w:tcPr>
          <w:p w14:paraId="714F3934"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16.5%</w:t>
            </w:r>
          </w:p>
        </w:tc>
        <w:tc>
          <w:tcPr>
            <w:tcW w:w="885" w:type="dxa"/>
            <w:tcBorders>
              <w:top w:val="nil"/>
              <w:left w:val="nil"/>
              <w:bottom w:val="single" w:sz="8" w:space="0" w:color="FFFFFF"/>
              <w:right w:val="single" w:sz="8" w:space="0" w:color="FFFFFF"/>
            </w:tcBorders>
            <w:shd w:val="clear" w:color="000000" w:fill="E7EEEF"/>
            <w:vAlign w:val="center"/>
            <w:hideMark/>
          </w:tcPr>
          <w:p w14:paraId="0752686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20.1%</w:t>
            </w:r>
          </w:p>
        </w:tc>
      </w:tr>
    </w:tbl>
    <w:p w14:paraId="03D98EE6" w14:textId="692D0223" w:rsidR="007144FF" w:rsidRDefault="00F31CFA" w:rsidP="005F04B5">
      <w:pPr>
        <w:keepNext/>
        <w:keepLines/>
        <w:spacing w:before="60" w:after="120"/>
        <w:ind w:left="6480" w:firstLine="720"/>
        <w:rPr>
          <w:i/>
          <w:color w:val="000000" w:themeColor="text1"/>
          <w:sz w:val="18"/>
        </w:rPr>
      </w:pPr>
      <w:r>
        <w:rPr>
          <w:i/>
          <w:color w:val="000000" w:themeColor="text1"/>
          <w:sz w:val="18"/>
        </w:rPr>
        <w:t xml:space="preserve"> </w:t>
      </w:r>
      <w:r w:rsidR="007144FF" w:rsidRPr="00BB097C">
        <w:rPr>
          <w:i/>
          <w:color w:val="000000" w:themeColor="text1"/>
          <w:sz w:val="18"/>
        </w:rPr>
        <w:t>Source:</w:t>
      </w:r>
      <w:r w:rsidR="007144FF">
        <w:rPr>
          <w:i/>
          <w:color w:val="000000" w:themeColor="text1"/>
          <w:sz w:val="18"/>
        </w:rPr>
        <w:t xml:space="preserve"> ONS</w:t>
      </w:r>
      <w:r w:rsidR="007144FF" w:rsidRPr="00BB097C">
        <w:rPr>
          <w:i/>
          <w:color w:val="000000" w:themeColor="text1"/>
          <w:sz w:val="18"/>
        </w:rPr>
        <w:t>, Cebr analysis</w:t>
      </w:r>
    </w:p>
    <w:p w14:paraId="57FF2821" w14:textId="77777777" w:rsidR="005F04B5" w:rsidRDefault="005F04B5" w:rsidP="007144FF">
      <w:pPr>
        <w:pStyle w:val="ListBullet"/>
        <w:numPr>
          <w:ilvl w:val="0"/>
          <w:numId w:val="0"/>
        </w:numPr>
        <w:spacing w:after="120"/>
        <w:rPr>
          <w:rFonts w:ascii="Calibri" w:eastAsia="Microsoft JhengHei" w:hAnsi="Calibri"/>
          <w:szCs w:val="22"/>
        </w:rPr>
      </w:pPr>
    </w:p>
    <w:p w14:paraId="4C4BB9D6" w14:textId="799242C0" w:rsidR="007144FF" w:rsidRDefault="007144FF" w:rsidP="007144FF">
      <w:pPr>
        <w:pStyle w:val="ListBullet"/>
        <w:numPr>
          <w:ilvl w:val="0"/>
          <w:numId w:val="0"/>
        </w:numPr>
        <w:spacing w:after="120"/>
        <w:rPr>
          <w:rFonts w:ascii="Calibri" w:eastAsia="Microsoft JhengHei" w:hAnsi="Calibri"/>
          <w:szCs w:val="22"/>
        </w:rPr>
      </w:pPr>
      <w:r>
        <w:rPr>
          <w:rFonts w:ascii="Calibri" w:eastAsia="Microsoft JhengHei" w:hAnsi="Calibri"/>
          <w:szCs w:val="22"/>
        </w:rPr>
        <w:t>The Welsh proportion has then been applied</w:t>
      </w:r>
      <w:r w:rsidR="001C07BD">
        <w:rPr>
          <w:rFonts w:ascii="Calibri" w:eastAsia="Microsoft JhengHei" w:hAnsi="Calibri"/>
          <w:szCs w:val="22"/>
        </w:rPr>
        <w:t xml:space="preserve"> to the UK-level estimates for p</w:t>
      </w:r>
      <w:r>
        <w:rPr>
          <w:rFonts w:ascii="Calibri" w:eastAsia="Microsoft JhengHei" w:hAnsi="Calibri"/>
          <w:szCs w:val="22"/>
        </w:rPr>
        <w:t>orts employment, with the other key macroeconomic indicators (GVA, Business Turnover and Compensation of Employees) estimated using the implied ratios to employment at UK-level.</w:t>
      </w:r>
    </w:p>
    <w:p w14:paraId="7187EFC6" w14:textId="1F407D64" w:rsidR="007144FF" w:rsidRPr="008215BB" w:rsidRDefault="00095D06" w:rsidP="008215BB">
      <w:pPr>
        <w:pStyle w:val="ListBullet"/>
        <w:numPr>
          <w:ilvl w:val="0"/>
          <w:numId w:val="0"/>
        </w:numPr>
        <w:spacing w:after="120"/>
        <w:rPr>
          <w:rFonts w:ascii="Calibri" w:eastAsia="Microsoft JhengHei" w:hAnsi="Calibri"/>
          <w:b/>
          <w:szCs w:val="22"/>
        </w:rPr>
      </w:pPr>
      <w:r>
        <w:rPr>
          <w:rFonts w:ascii="Calibri" w:eastAsia="Microsoft JhengHei" w:hAnsi="Calibri"/>
          <w:szCs w:val="22"/>
        </w:rPr>
        <w:t xml:space="preserve">The total tonnage at </w:t>
      </w:r>
      <w:r w:rsidR="008215BB">
        <w:rPr>
          <w:rFonts w:ascii="Calibri" w:eastAsia="Microsoft JhengHei" w:hAnsi="Calibri"/>
          <w:szCs w:val="22"/>
        </w:rPr>
        <w:t xml:space="preserve">major and minor </w:t>
      </w:r>
      <w:r>
        <w:rPr>
          <w:rFonts w:ascii="Calibri" w:eastAsia="Microsoft JhengHei" w:hAnsi="Calibri"/>
          <w:szCs w:val="22"/>
        </w:rPr>
        <w:t>Welsh Ports in 201</w:t>
      </w:r>
      <w:r w:rsidR="00307E8C">
        <w:rPr>
          <w:rFonts w:ascii="Calibri" w:eastAsia="Microsoft JhengHei" w:hAnsi="Calibri"/>
          <w:szCs w:val="22"/>
        </w:rPr>
        <w:t>7</w:t>
      </w:r>
      <w:r>
        <w:rPr>
          <w:rFonts w:ascii="Calibri" w:eastAsia="Microsoft JhengHei" w:hAnsi="Calibri"/>
          <w:szCs w:val="22"/>
        </w:rPr>
        <w:t xml:space="preserve"> was </w:t>
      </w:r>
      <w:r w:rsidR="008215BB">
        <w:rPr>
          <w:rFonts w:ascii="Calibri" w:eastAsia="Microsoft JhengHei" w:hAnsi="Calibri"/>
          <w:szCs w:val="22"/>
        </w:rPr>
        <w:t>just over 5</w:t>
      </w:r>
      <w:r w:rsidR="00307E8C">
        <w:rPr>
          <w:rFonts w:ascii="Calibri" w:eastAsia="Microsoft JhengHei" w:hAnsi="Calibri"/>
          <w:szCs w:val="22"/>
        </w:rPr>
        <w:t>1</w:t>
      </w:r>
      <w:r w:rsidR="008215BB">
        <w:rPr>
          <w:rFonts w:ascii="Calibri" w:eastAsia="Microsoft JhengHei" w:hAnsi="Calibri"/>
          <w:szCs w:val="22"/>
        </w:rPr>
        <w:t>.</w:t>
      </w:r>
      <w:r w:rsidR="00307E8C">
        <w:rPr>
          <w:rFonts w:ascii="Calibri" w:eastAsia="Microsoft JhengHei" w:hAnsi="Calibri"/>
          <w:szCs w:val="22"/>
        </w:rPr>
        <w:t>6</w:t>
      </w:r>
      <w:r w:rsidR="008215BB">
        <w:rPr>
          <w:rFonts w:ascii="Calibri" w:eastAsia="Microsoft JhengHei" w:hAnsi="Calibri"/>
          <w:szCs w:val="22"/>
        </w:rPr>
        <w:t xml:space="preserve"> million tonnes. Of this, total inward traffic was 3</w:t>
      </w:r>
      <w:r w:rsidR="00307E8C">
        <w:rPr>
          <w:rFonts w:ascii="Calibri" w:eastAsia="Microsoft JhengHei" w:hAnsi="Calibri"/>
          <w:szCs w:val="22"/>
        </w:rPr>
        <w:t>4</w:t>
      </w:r>
      <w:r w:rsidR="008215BB">
        <w:rPr>
          <w:rFonts w:ascii="Calibri" w:eastAsia="Microsoft JhengHei" w:hAnsi="Calibri"/>
          <w:szCs w:val="22"/>
        </w:rPr>
        <w:t>.</w:t>
      </w:r>
      <w:r w:rsidR="00307E8C">
        <w:rPr>
          <w:rFonts w:ascii="Calibri" w:eastAsia="Microsoft JhengHei" w:hAnsi="Calibri"/>
          <w:szCs w:val="22"/>
        </w:rPr>
        <w:t>6</w:t>
      </w:r>
      <w:r w:rsidR="008215BB">
        <w:rPr>
          <w:rFonts w:ascii="Calibri" w:eastAsia="Microsoft JhengHei" w:hAnsi="Calibri"/>
          <w:szCs w:val="22"/>
        </w:rPr>
        <w:t xml:space="preserve"> million tonnes, whilst total outward traffic was 1</w:t>
      </w:r>
      <w:r w:rsidR="00307E8C">
        <w:rPr>
          <w:rFonts w:ascii="Calibri" w:eastAsia="Microsoft JhengHei" w:hAnsi="Calibri"/>
          <w:szCs w:val="22"/>
        </w:rPr>
        <w:t>7.0</w:t>
      </w:r>
      <w:r w:rsidR="008215BB">
        <w:rPr>
          <w:rFonts w:ascii="Calibri" w:eastAsia="Microsoft JhengHei" w:hAnsi="Calibri"/>
          <w:szCs w:val="22"/>
        </w:rPr>
        <w:t xml:space="preserve"> million tonnes.</w:t>
      </w:r>
      <w:r w:rsidR="008215BB" w:rsidRPr="008215BB">
        <w:rPr>
          <w:vertAlign w:val="superscript"/>
        </w:rPr>
        <w:footnoteReference w:id="7"/>
      </w:r>
    </w:p>
    <w:p w14:paraId="15EE9682" w14:textId="77777777" w:rsidR="00AC5E49" w:rsidRDefault="00AC5E49" w:rsidP="00AC5E49">
      <w:pPr>
        <w:pStyle w:val="ListBullet"/>
        <w:numPr>
          <w:ilvl w:val="0"/>
          <w:numId w:val="0"/>
        </w:numPr>
        <w:spacing w:after="120"/>
        <w:ind w:left="360" w:hanging="360"/>
        <w:rPr>
          <w:rFonts w:ascii="Calibri" w:eastAsia="Microsoft JhengHei" w:hAnsi="Calibri"/>
          <w:b/>
          <w:szCs w:val="22"/>
        </w:rPr>
      </w:pPr>
      <w:r>
        <w:rPr>
          <w:rFonts w:ascii="Calibri" w:eastAsia="Microsoft JhengHei" w:hAnsi="Calibri"/>
          <w:b/>
          <w:szCs w:val="22"/>
        </w:rPr>
        <w:t>Shipping</w:t>
      </w:r>
    </w:p>
    <w:p w14:paraId="7D10C008" w14:textId="2D4208FB" w:rsidR="00AC5E49" w:rsidRDefault="00AC5E49"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In order to disaggregat</w:t>
      </w:r>
      <w:r w:rsidR="001C07BD">
        <w:rPr>
          <w:rFonts w:ascii="Calibri" w:eastAsia="Microsoft JhengHei" w:hAnsi="Calibri"/>
          <w:szCs w:val="22"/>
        </w:rPr>
        <w:t>e the economic activity of the s</w:t>
      </w:r>
      <w:r>
        <w:rPr>
          <w:rFonts w:ascii="Calibri" w:eastAsia="Microsoft JhengHei" w:hAnsi="Calibri"/>
          <w:szCs w:val="22"/>
        </w:rPr>
        <w:t>hipping industry, it is firstly necessary to identify the proportion of employment i</w:t>
      </w:r>
      <w:r w:rsidR="006A1032">
        <w:rPr>
          <w:rFonts w:ascii="Calibri" w:eastAsia="Microsoft JhengHei" w:hAnsi="Calibri"/>
          <w:szCs w:val="22"/>
        </w:rPr>
        <w:t>n the s</w:t>
      </w:r>
      <w:r>
        <w:rPr>
          <w:rFonts w:ascii="Calibri" w:eastAsia="Microsoft JhengHei" w:hAnsi="Calibri"/>
          <w:szCs w:val="22"/>
        </w:rPr>
        <w:t>hipping industry across each UK region.</w:t>
      </w:r>
      <w:r w:rsidRPr="003C3588">
        <w:rPr>
          <w:rFonts w:ascii="Calibri" w:eastAsia="Microsoft JhengHei" w:hAnsi="Calibri"/>
          <w:szCs w:val="22"/>
        </w:rPr>
        <w:t xml:space="preserve"> </w:t>
      </w:r>
    </w:p>
    <w:p w14:paraId="15173EB1" w14:textId="2445DE8E" w:rsidR="008D0671" w:rsidRDefault="00AC5E49" w:rsidP="00AC5E49">
      <w:pPr>
        <w:pStyle w:val="ListBullet"/>
        <w:numPr>
          <w:ilvl w:val="0"/>
          <w:numId w:val="0"/>
        </w:numPr>
        <w:spacing w:after="120"/>
        <w:rPr>
          <w:rFonts w:ascii="Calibri" w:eastAsia="Microsoft JhengHei" w:hAnsi="Calibri"/>
          <w:szCs w:val="22"/>
        </w:rPr>
      </w:pPr>
      <w:r>
        <w:rPr>
          <w:rFonts w:ascii="Calibri" w:eastAsia="Microsoft JhengHei" w:hAnsi="Calibri"/>
          <w:szCs w:val="22"/>
        </w:rPr>
        <w:t>The major source of employment was the Business Register and Employment Survey (BRES)</w:t>
      </w:r>
      <w:r w:rsidRPr="00A54F4D">
        <w:rPr>
          <w:vertAlign w:val="superscript"/>
        </w:rPr>
        <w:footnoteReference w:id="8"/>
      </w:r>
      <w:r>
        <w:rPr>
          <w:rFonts w:ascii="Calibri" w:eastAsia="Microsoft JhengHei" w:hAnsi="Calibri"/>
          <w:szCs w:val="22"/>
        </w:rPr>
        <w:t>, as accessed through NOMIS. Employment data associated with each Standard Industri</w:t>
      </w:r>
      <w:r w:rsidR="006A1032">
        <w:rPr>
          <w:rFonts w:ascii="Calibri" w:eastAsia="Microsoft JhengHei" w:hAnsi="Calibri"/>
          <w:szCs w:val="22"/>
        </w:rPr>
        <w:t>al Classification code for the s</w:t>
      </w:r>
      <w:r>
        <w:rPr>
          <w:rFonts w:ascii="Calibri" w:eastAsia="Microsoft JhengHei" w:hAnsi="Calibri"/>
          <w:szCs w:val="22"/>
        </w:rPr>
        <w:t xml:space="preserve">hipping industry were gathered and an implied regional breakdown estimated after interpolating for some missing information. </w:t>
      </w:r>
      <w:r w:rsidR="006D583E" w:rsidRPr="006D583E">
        <w:rPr>
          <w:rStyle w:val="FootnoteReference"/>
          <w:rFonts w:ascii="Calibri" w:eastAsia="Microsoft JhengHei" w:hAnsi="Calibri"/>
          <w:position w:val="0"/>
          <w:sz w:val="22"/>
        </w:rPr>
        <w:footnoteReference w:id="9"/>
      </w:r>
    </w:p>
    <w:p w14:paraId="56E9C2DD" w14:textId="77777777" w:rsidR="00AB58F0" w:rsidRDefault="00AB58F0" w:rsidP="00AC5E49">
      <w:pPr>
        <w:pStyle w:val="ListBullet"/>
        <w:numPr>
          <w:ilvl w:val="0"/>
          <w:numId w:val="0"/>
        </w:numPr>
        <w:spacing w:after="120"/>
        <w:rPr>
          <w:rFonts w:ascii="Calibri" w:eastAsia="Microsoft JhengHei" w:hAnsi="Calibri"/>
          <w:szCs w:val="22"/>
        </w:rPr>
      </w:pPr>
    </w:p>
    <w:p w14:paraId="60E58C1F" w14:textId="77777777" w:rsidR="00AB58F0" w:rsidRDefault="00AB58F0" w:rsidP="00AC5E49">
      <w:pPr>
        <w:pStyle w:val="ListBullet"/>
        <w:numPr>
          <w:ilvl w:val="0"/>
          <w:numId w:val="0"/>
        </w:numPr>
        <w:spacing w:after="120"/>
        <w:rPr>
          <w:rFonts w:ascii="Calibri" w:eastAsia="Microsoft JhengHei" w:hAnsi="Calibri"/>
          <w:szCs w:val="22"/>
        </w:rPr>
      </w:pPr>
    </w:p>
    <w:p w14:paraId="613D7A6B" w14:textId="77777777" w:rsidR="00AB58F0" w:rsidRPr="00432A94" w:rsidRDefault="00AB58F0" w:rsidP="00AC5E49">
      <w:pPr>
        <w:pStyle w:val="ListBullet"/>
        <w:numPr>
          <w:ilvl w:val="0"/>
          <w:numId w:val="0"/>
        </w:numPr>
        <w:spacing w:after="120"/>
        <w:rPr>
          <w:rFonts w:ascii="Calibri" w:eastAsia="Microsoft JhengHei" w:hAnsi="Calibri"/>
          <w:szCs w:val="22"/>
        </w:rPr>
      </w:pPr>
    </w:p>
    <w:p w14:paraId="342A1AF9" w14:textId="0C7C553F" w:rsidR="008E0882" w:rsidRDefault="008E0882" w:rsidP="008E0882">
      <w:pPr>
        <w:pStyle w:val="Caption"/>
        <w:keepNext/>
      </w:pPr>
      <w:bookmarkStart w:id="31" w:name="_Ref490044666"/>
      <w:r>
        <w:lastRenderedPageBreak/>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6</w:t>
      </w:r>
      <w:r w:rsidR="00A420C1">
        <w:rPr>
          <w:noProof/>
        </w:rPr>
        <w:fldChar w:fldCharType="end"/>
      </w:r>
      <w:bookmarkEnd w:id="31"/>
      <w:r>
        <w:t xml:space="preserve">: </w:t>
      </w:r>
      <w:r w:rsidRPr="00B36F4C">
        <w:t>The</w:t>
      </w:r>
      <w:r w:rsidR="006A1032">
        <w:t xml:space="preserve"> breakdown of UK employment in s</w:t>
      </w:r>
      <w:r w:rsidRPr="00B36F4C">
        <w:t>hipping as implied by BRES and ABS, 2010 to 201</w:t>
      </w:r>
      <w:r w:rsidR="00F332D8">
        <w:t>7</w:t>
      </w:r>
    </w:p>
    <w:tbl>
      <w:tblPr>
        <w:tblW w:w="9481" w:type="dxa"/>
        <w:tblLook w:val="04A0" w:firstRow="1" w:lastRow="0" w:firstColumn="1" w:lastColumn="0" w:noHBand="0" w:noVBand="1"/>
      </w:tblPr>
      <w:tblGrid>
        <w:gridCol w:w="2457"/>
        <w:gridCol w:w="878"/>
        <w:gridCol w:w="878"/>
        <w:gridCol w:w="878"/>
        <w:gridCol w:w="878"/>
        <w:gridCol w:w="878"/>
        <w:gridCol w:w="878"/>
        <w:gridCol w:w="878"/>
        <w:gridCol w:w="878"/>
      </w:tblGrid>
      <w:tr w:rsidR="00F31CFA" w:rsidRPr="00F31CFA" w14:paraId="618A0AB4" w14:textId="77777777" w:rsidTr="008D0671">
        <w:trPr>
          <w:trHeight w:val="314"/>
        </w:trPr>
        <w:tc>
          <w:tcPr>
            <w:tcW w:w="2457" w:type="dxa"/>
            <w:tcBorders>
              <w:top w:val="single" w:sz="8" w:space="0" w:color="FFFFFF"/>
              <w:left w:val="nil"/>
              <w:bottom w:val="single" w:sz="12" w:space="0" w:color="FFFFFF"/>
              <w:right w:val="single" w:sz="8" w:space="0" w:color="FFFFFF"/>
            </w:tcBorders>
            <w:shd w:val="clear" w:color="000000" w:fill="008C9B"/>
            <w:vAlign w:val="center"/>
            <w:hideMark/>
          </w:tcPr>
          <w:p w14:paraId="05116446" w14:textId="77777777" w:rsidR="00F31CFA" w:rsidRPr="00F31CFA" w:rsidRDefault="00F31CFA" w:rsidP="00F31CFA">
            <w:pPr>
              <w:spacing w:after="0"/>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Shipping Employment</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07409398"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2010</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536AF09B"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2011</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489D419A"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2012</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53EA7BDF"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2013</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659F0C6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2014</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21AC9973"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2015</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7587A12C"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2016</w:t>
            </w:r>
          </w:p>
        </w:tc>
        <w:tc>
          <w:tcPr>
            <w:tcW w:w="878" w:type="dxa"/>
            <w:tcBorders>
              <w:top w:val="single" w:sz="8" w:space="0" w:color="FFFFFF"/>
              <w:left w:val="nil"/>
              <w:bottom w:val="single" w:sz="12" w:space="0" w:color="FFFFFF"/>
              <w:right w:val="single" w:sz="8" w:space="0" w:color="FFFFFF"/>
            </w:tcBorders>
            <w:shd w:val="clear" w:color="000000" w:fill="008C9B"/>
            <w:vAlign w:val="center"/>
            <w:hideMark/>
          </w:tcPr>
          <w:p w14:paraId="6F3F115D" w14:textId="77777777" w:rsidR="00F31CFA" w:rsidRPr="00F31CFA" w:rsidRDefault="00F31CFA" w:rsidP="00F31CFA">
            <w:pPr>
              <w:spacing w:after="0"/>
              <w:jc w:val="center"/>
              <w:rPr>
                <w:rFonts w:ascii="Calibri" w:eastAsia="Times New Roman" w:hAnsi="Calibri"/>
                <w:b/>
                <w:bCs/>
                <w:color w:val="FFFFFF"/>
                <w:sz w:val="20"/>
                <w:lang w:eastAsia="en-GB"/>
              </w:rPr>
            </w:pPr>
            <w:r w:rsidRPr="00F31CFA">
              <w:rPr>
                <w:rFonts w:ascii="Calibri" w:eastAsia="Times New Roman" w:hAnsi="Calibri"/>
                <w:b/>
                <w:bCs/>
                <w:color w:val="FFFFFF"/>
                <w:sz w:val="20"/>
                <w:lang w:eastAsia="en-GB"/>
              </w:rPr>
              <w:t>2017</w:t>
            </w:r>
          </w:p>
        </w:tc>
      </w:tr>
      <w:tr w:rsidR="00F31CFA" w:rsidRPr="00F31CFA" w14:paraId="4FF04C95"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07C9873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England</w:t>
            </w:r>
          </w:p>
        </w:tc>
        <w:tc>
          <w:tcPr>
            <w:tcW w:w="878" w:type="dxa"/>
            <w:tcBorders>
              <w:top w:val="nil"/>
              <w:left w:val="nil"/>
              <w:bottom w:val="single" w:sz="8" w:space="0" w:color="FFFFFF"/>
              <w:right w:val="single" w:sz="8" w:space="0" w:color="FFFFFF"/>
            </w:tcBorders>
            <w:shd w:val="clear" w:color="000000" w:fill="E7EEEF"/>
            <w:vAlign w:val="center"/>
            <w:hideMark/>
          </w:tcPr>
          <w:p w14:paraId="59550B1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79.8%</w:t>
            </w:r>
          </w:p>
        </w:tc>
        <w:tc>
          <w:tcPr>
            <w:tcW w:w="878" w:type="dxa"/>
            <w:tcBorders>
              <w:top w:val="nil"/>
              <w:left w:val="nil"/>
              <w:bottom w:val="single" w:sz="8" w:space="0" w:color="FFFFFF"/>
              <w:right w:val="single" w:sz="8" w:space="0" w:color="FFFFFF"/>
            </w:tcBorders>
            <w:shd w:val="clear" w:color="000000" w:fill="E7EEEF"/>
            <w:vAlign w:val="center"/>
            <w:hideMark/>
          </w:tcPr>
          <w:p w14:paraId="2E966CF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76.4%</w:t>
            </w:r>
          </w:p>
        </w:tc>
        <w:tc>
          <w:tcPr>
            <w:tcW w:w="878" w:type="dxa"/>
            <w:tcBorders>
              <w:top w:val="nil"/>
              <w:left w:val="nil"/>
              <w:bottom w:val="single" w:sz="8" w:space="0" w:color="FFFFFF"/>
              <w:right w:val="single" w:sz="8" w:space="0" w:color="FFFFFF"/>
            </w:tcBorders>
            <w:shd w:val="clear" w:color="000000" w:fill="E7EEEF"/>
            <w:vAlign w:val="center"/>
            <w:hideMark/>
          </w:tcPr>
          <w:p w14:paraId="5BDECE6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77.7%</w:t>
            </w:r>
          </w:p>
        </w:tc>
        <w:tc>
          <w:tcPr>
            <w:tcW w:w="878" w:type="dxa"/>
            <w:tcBorders>
              <w:top w:val="nil"/>
              <w:left w:val="nil"/>
              <w:bottom w:val="single" w:sz="8" w:space="0" w:color="FFFFFF"/>
              <w:right w:val="single" w:sz="8" w:space="0" w:color="FFFFFF"/>
            </w:tcBorders>
            <w:shd w:val="clear" w:color="000000" w:fill="E7EEEF"/>
            <w:vAlign w:val="center"/>
            <w:hideMark/>
          </w:tcPr>
          <w:p w14:paraId="0DA1A96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78.2%</w:t>
            </w:r>
          </w:p>
        </w:tc>
        <w:tc>
          <w:tcPr>
            <w:tcW w:w="878" w:type="dxa"/>
            <w:tcBorders>
              <w:top w:val="nil"/>
              <w:left w:val="nil"/>
              <w:bottom w:val="single" w:sz="8" w:space="0" w:color="FFFFFF"/>
              <w:right w:val="single" w:sz="8" w:space="0" w:color="FFFFFF"/>
            </w:tcBorders>
            <w:shd w:val="clear" w:color="000000" w:fill="E7EEEF"/>
            <w:vAlign w:val="center"/>
            <w:hideMark/>
          </w:tcPr>
          <w:p w14:paraId="0DED8A2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78.9%</w:t>
            </w:r>
          </w:p>
        </w:tc>
        <w:tc>
          <w:tcPr>
            <w:tcW w:w="878" w:type="dxa"/>
            <w:tcBorders>
              <w:top w:val="nil"/>
              <w:left w:val="nil"/>
              <w:bottom w:val="single" w:sz="8" w:space="0" w:color="FFFFFF"/>
              <w:right w:val="single" w:sz="8" w:space="0" w:color="FFFFFF"/>
            </w:tcBorders>
            <w:shd w:val="clear" w:color="000000" w:fill="E7EEEF"/>
            <w:vAlign w:val="center"/>
            <w:hideMark/>
          </w:tcPr>
          <w:p w14:paraId="6CDA90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80.3%</w:t>
            </w:r>
          </w:p>
        </w:tc>
        <w:tc>
          <w:tcPr>
            <w:tcW w:w="878" w:type="dxa"/>
            <w:tcBorders>
              <w:top w:val="nil"/>
              <w:left w:val="nil"/>
              <w:bottom w:val="single" w:sz="8" w:space="0" w:color="FFFFFF"/>
              <w:right w:val="single" w:sz="8" w:space="0" w:color="FFFFFF"/>
            </w:tcBorders>
            <w:shd w:val="clear" w:color="000000" w:fill="E7EEEF"/>
            <w:vAlign w:val="center"/>
            <w:hideMark/>
          </w:tcPr>
          <w:p w14:paraId="17D61DC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78.3%</w:t>
            </w:r>
          </w:p>
        </w:tc>
        <w:tc>
          <w:tcPr>
            <w:tcW w:w="878" w:type="dxa"/>
            <w:tcBorders>
              <w:top w:val="nil"/>
              <w:left w:val="nil"/>
              <w:bottom w:val="single" w:sz="8" w:space="0" w:color="FFFFFF"/>
              <w:right w:val="single" w:sz="8" w:space="0" w:color="FFFFFF"/>
            </w:tcBorders>
            <w:shd w:val="clear" w:color="000000" w:fill="E7EEEF"/>
            <w:vAlign w:val="center"/>
            <w:hideMark/>
          </w:tcPr>
          <w:p w14:paraId="0C41B60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81.5%</w:t>
            </w:r>
          </w:p>
        </w:tc>
      </w:tr>
      <w:tr w:rsidR="00F31CFA" w:rsidRPr="00F31CFA" w14:paraId="76D900B5"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50B6D282"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Scotland</w:t>
            </w:r>
          </w:p>
        </w:tc>
        <w:tc>
          <w:tcPr>
            <w:tcW w:w="878" w:type="dxa"/>
            <w:tcBorders>
              <w:top w:val="nil"/>
              <w:left w:val="nil"/>
              <w:bottom w:val="single" w:sz="8" w:space="0" w:color="FFFFFF"/>
              <w:right w:val="single" w:sz="8" w:space="0" w:color="FFFFFF"/>
            </w:tcBorders>
            <w:shd w:val="clear" w:color="000000" w:fill="D0CECE"/>
            <w:vAlign w:val="center"/>
            <w:hideMark/>
          </w:tcPr>
          <w:p w14:paraId="10B6B20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11.6%</w:t>
            </w:r>
          </w:p>
        </w:tc>
        <w:tc>
          <w:tcPr>
            <w:tcW w:w="878" w:type="dxa"/>
            <w:tcBorders>
              <w:top w:val="nil"/>
              <w:left w:val="nil"/>
              <w:bottom w:val="single" w:sz="8" w:space="0" w:color="FFFFFF"/>
              <w:right w:val="single" w:sz="8" w:space="0" w:color="FFFFFF"/>
            </w:tcBorders>
            <w:shd w:val="clear" w:color="000000" w:fill="D0CECE"/>
            <w:vAlign w:val="center"/>
            <w:hideMark/>
          </w:tcPr>
          <w:p w14:paraId="4BD8602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13.1%</w:t>
            </w:r>
          </w:p>
        </w:tc>
        <w:tc>
          <w:tcPr>
            <w:tcW w:w="878" w:type="dxa"/>
            <w:tcBorders>
              <w:top w:val="nil"/>
              <w:left w:val="nil"/>
              <w:bottom w:val="single" w:sz="8" w:space="0" w:color="FFFFFF"/>
              <w:right w:val="single" w:sz="8" w:space="0" w:color="FFFFFF"/>
            </w:tcBorders>
            <w:shd w:val="clear" w:color="000000" w:fill="D0CECE"/>
            <w:vAlign w:val="center"/>
            <w:hideMark/>
          </w:tcPr>
          <w:p w14:paraId="46ECA48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c>
          <w:tcPr>
            <w:tcW w:w="878" w:type="dxa"/>
            <w:tcBorders>
              <w:top w:val="nil"/>
              <w:left w:val="nil"/>
              <w:bottom w:val="single" w:sz="8" w:space="0" w:color="FFFFFF"/>
              <w:right w:val="single" w:sz="8" w:space="0" w:color="FFFFFF"/>
            </w:tcBorders>
            <w:shd w:val="clear" w:color="000000" w:fill="D0CECE"/>
            <w:vAlign w:val="center"/>
            <w:hideMark/>
          </w:tcPr>
          <w:p w14:paraId="7F71E23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13.0%</w:t>
            </w:r>
          </w:p>
        </w:tc>
        <w:tc>
          <w:tcPr>
            <w:tcW w:w="878" w:type="dxa"/>
            <w:tcBorders>
              <w:top w:val="nil"/>
              <w:left w:val="nil"/>
              <w:bottom w:val="single" w:sz="8" w:space="0" w:color="FFFFFF"/>
              <w:right w:val="single" w:sz="8" w:space="0" w:color="FFFFFF"/>
            </w:tcBorders>
            <w:shd w:val="clear" w:color="000000" w:fill="D0CECE"/>
            <w:vAlign w:val="center"/>
            <w:hideMark/>
          </w:tcPr>
          <w:p w14:paraId="4F00DA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14.8%</w:t>
            </w:r>
          </w:p>
        </w:tc>
        <w:tc>
          <w:tcPr>
            <w:tcW w:w="878" w:type="dxa"/>
            <w:tcBorders>
              <w:top w:val="nil"/>
              <w:left w:val="nil"/>
              <w:bottom w:val="single" w:sz="8" w:space="0" w:color="FFFFFF"/>
              <w:right w:val="single" w:sz="8" w:space="0" w:color="FFFFFF"/>
            </w:tcBorders>
            <w:shd w:val="clear" w:color="000000" w:fill="D0CECE"/>
            <w:vAlign w:val="center"/>
            <w:hideMark/>
          </w:tcPr>
          <w:p w14:paraId="6EDBD31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12.4%</w:t>
            </w:r>
          </w:p>
        </w:tc>
        <w:tc>
          <w:tcPr>
            <w:tcW w:w="878" w:type="dxa"/>
            <w:tcBorders>
              <w:top w:val="nil"/>
              <w:left w:val="nil"/>
              <w:bottom w:val="single" w:sz="8" w:space="0" w:color="FFFFFF"/>
              <w:right w:val="single" w:sz="8" w:space="0" w:color="FFFFFF"/>
            </w:tcBorders>
            <w:shd w:val="clear" w:color="000000" w:fill="D0CECE"/>
            <w:vAlign w:val="center"/>
            <w:hideMark/>
          </w:tcPr>
          <w:p w14:paraId="023D47F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c>
          <w:tcPr>
            <w:tcW w:w="878" w:type="dxa"/>
            <w:tcBorders>
              <w:top w:val="nil"/>
              <w:left w:val="nil"/>
              <w:bottom w:val="single" w:sz="8" w:space="0" w:color="FFFFFF"/>
              <w:right w:val="single" w:sz="8" w:space="0" w:color="FFFFFF"/>
            </w:tcBorders>
            <w:shd w:val="clear" w:color="000000" w:fill="D0CECE"/>
            <w:vAlign w:val="center"/>
            <w:hideMark/>
          </w:tcPr>
          <w:p w14:paraId="03FF5E8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13.9%</w:t>
            </w:r>
          </w:p>
        </w:tc>
      </w:tr>
      <w:tr w:rsidR="00F31CFA" w:rsidRPr="00F31CFA" w14:paraId="1871921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7DFD1707"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Wales</w:t>
            </w:r>
          </w:p>
        </w:tc>
        <w:tc>
          <w:tcPr>
            <w:tcW w:w="878" w:type="dxa"/>
            <w:tcBorders>
              <w:top w:val="nil"/>
              <w:left w:val="nil"/>
              <w:bottom w:val="single" w:sz="8" w:space="0" w:color="FFFFFF"/>
              <w:right w:val="single" w:sz="8" w:space="0" w:color="FFFFFF"/>
            </w:tcBorders>
            <w:shd w:val="clear" w:color="000000" w:fill="E7EEEF"/>
            <w:vAlign w:val="center"/>
            <w:hideMark/>
          </w:tcPr>
          <w:p w14:paraId="71695F3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72762AE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7.0%</w:t>
            </w:r>
          </w:p>
        </w:tc>
        <w:tc>
          <w:tcPr>
            <w:tcW w:w="878" w:type="dxa"/>
            <w:tcBorders>
              <w:top w:val="nil"/>
              <w:left w:val="nil"/>
              <w:bottom w:val="single" w:sz="8" w:space="0" w:color="FFFFFF"/>
              <w:right w:val="single" w:sz="8" w:space="0" w:color="FFFFFF"/>
            </w:tcBorders>
            <w:shd w:val="clear" w:color="000000" w:fill="E7EEEF"/>
            <w:vAlign w:val="center"/>
            <w:hideMark/>
          </w:tcPr>
          <w:p w14:paraId="3A57BD4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5.2%</w:t>
            </w:r>
          </w:p>
        </w:tc>
        <w:tc>
          <w:tcPr>
            <w:tcW w:w="878" w:type="dxa"/>
            <w:tcBorders>
              <w:top w:val="nil"/>
              <w:left w:val="nil"/>
              <w:bottom w:val="single" w:sz="8" w:space="0" w:color="FFFFFF"/>
              <w:right w:val="single" w:sz="8" w:space="0" w:color="FFFFFF"/>
            </w:tcBorders>
            <w:shd w:val="clear" w:color="000000" w:fill="E7EEEF"/>
            <w:vAlign w:val="center"/>
            <w:hideMark/>
          </w:tcPr>
          <w:p w14:paraId="53040D0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5D758C8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4.0%</w:t>
            </w:r>
          </w:p>
        </w:tc>
        <w:tc>
          <w:tcPr>
            <w:tcW w:w="878" w:type="dxa"/>
            <w:tcBorders>
              <w:top w:val="nil"/>
              <w:left w:val="nil"/>
              <w:bottom w:val="single" w:sz="8" w:space="0" w:color="FFFFFF"/>
              <w:right w:val="single" w:sz="8" w:space="0" w:color="FFFFFF"/>
            </w:tcBorders>
            <w:shd w:val="clear" w:color="000000" w:fill="E7EEEF"/>
            <w:vAlign w:val="center"/>
            <w:hideMark/>
          </w:tcPr>
          <w:p w14:paraId="019D0AF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5.1%</w:t>
            </w:r>
          </w:p>
        </w:tc>
        <w:tc>
          <w:tcPr>
            <w:tcW w:w="878" w:type="dxa"/>
            <w:tcBorders>
              <w:top w:val="nil"/>
              <w:left w:val="nil"/>
              <w:bottom w:val="single" w:sz="8" w:space="0" w:color="FFFFFF"/>
              <w:right w:val="single" w:sz="8" w:space="0" w:color="FFFFFF"/>
            </w:tcBorders>
            <w:shd w:val="clear" w:color="000000" w:fill="E7EEEF"/>
            <w:vAlign w:val="center"/>
            <w:hideMark/>
          </w:tcPr>
          <w:p w14:paraId="00BA32C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78" w:type="dxa"/>
            <w:tcBorders>
              <w:top w:val="nil"/>
              <w:left w:val="nil"/>
              <w:bottom w:val="single" w:sz="8" w:space="0" w:color="FFFFFF"/>
              <w:right w:val="single" w:sz="8" w:space="0" w:color="FFFFFF"/>
            </w:tcBorders>
            <w:shd w:val="clear" w:color="000000" w:fill="E7EEEF"/>
            <w:vAlign w:val="center"/>
            <w:hideMark/>
          </w:tcPr>
          <w:p w14:paraId="023A7A4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r>
      <w:tr w:rsidR="00F31CFA" w:rsidRPr="00F31CFA" w14:paraId="063EB25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57FDCEC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Northern Ireland</w:t>
            </w:r>
          </w:p>
        </w:tc>
        <w:tc>
          <w:tcPr>
            <w:tcW w:w="878" w:type="dxa"/>
            <w:tcBorders>
              <w:top w:val="nil"/>
              <w:left w:val="nil"/>
              <w:bottom w:val="single" w:sz="8" w:space="0" w:color="FFFFFF"/>
              <w:right w:val="single" w:sz="8" w:space="0" w:color="FFFFFF"/>
            </w:tcBorders>
            <w:shd w:val="clear" w:color="000000" w:fill="D0CECE"/>
            <w:vAlign w:val="center"/>
            <w:hideMark/>
          </w:tcPr>
          <w:p w14:paraId="3EF2439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w:t>
            </w:r>
          </w:p>
        </w:tc>
        <w:tc>
          <w:tcPr>
            <w:tcW w:w="878" w:type="dxa"/>
            <w:tcBorders>
              <w:top w:val="nil"/>
              <w:left w:val="nil"/>
              <w:bottom w:val="single" w:sz="8" w:space="0" w:color="FFFFFF"/>
              <w:right w:val="single" w:sz="8" w:space="0" w:color="FFFFFF"/>
            </w:tcBorders>
            <w:shd w:val="clear" w:color="000000" w:fill="D0CECE"/>
            <w:vAlign w:val="center"/>
            <w:hideMark/>
          </w:tcPr>
          <w:p w14:paraId="6F16F00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3.6%</w:t>
            </w:r>
          </w:p>
        </w:tc>
        <w:tc>
          <w:tcPr>
            <w:tcW w:w="878" w:type="dxa"/>
            <w:tcBorders>
              <w:top w:val="nil"/>
              <w:left w:val="nil"/>
              <w:bottom w:val="single" w:sz="8" w:space="0" w:color="FFFFFF"/>
              <w:right w:val="single" w:sz="8" w:space="0" w:color="FFFFFF"/>
            </w:tcBorders>
            <w:shd w:val="clear" w:color="000000" w:fill="D0CECE"/>
            <w:vAlign w:val="center"/>
            <w:hideMark/>
          </w:tcPr>
          <w:p w14:paraId="5E0270D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w:t>
            </w:r>
          </w:p>
        </w:tc>
        <w:tc>
          <w:tcPr>
            <w:tcW w:w="878" w:type="dxa"/>
            <w:tcBorders>
              <w:top w:val="nil"/>
              <w:left w:val="nil"/>
              <w:bottom w:val="single" w:sz="8" w:space="0" w:color="FFFFFF"/>
              <w:right w:val="single" w:sz="8" w:space="0" w:color="FFFFFF"/>
            </w:tcBorders>
            <w:shd w:val="clear" w:color="000000" w:fill="D0CECE"/>
            <w:vAlign w:val="center"/>
            <w:hideMark/>
          </w:tcPr>
          <w:p w14:paraId="1EB0BD1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w:t>
            </w:r>
          </w:p>
        </w:tc>
        <w:tc>
          <w:tcPr>
            <w:tcW w:w="878" w:type="dxa"/>
            <w:tcBorders>
              <w:top w:val="nil"/>
              <w:left w:val="nil"/>
              <w:bottom w:val="single" w:sz="8" w:space="0" w:color="FFFFFF"/>
              <w:right w:val="single" w:sz="8" w:space="0" w:color="FFFFFF"/>
            </w:tcBorders>
            <w:shd w:val="clear" w:color="000000" w:fill="D0CECE"/>
            <w:vAlign w:val="center"/>
            <w:hideMark/>
          </w:tcPr>
          <w:p w14:paraId="7D53811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c>
          <w:tcPr>
            <w:tcW w:w="878" w:type="dxa"/>
            <w:tcBorders>
              <w:top w:val="nil"/>
              <w:left w:val="nil"/>
              <w:bottom w:val="single" w:sz="8" w:space="0" w:color="FFFFFF"/>
              <w:right w:val="single" w:sz="8" w:space="0" w:color="FFFFFF"/>
            </w:tcBorders>
            <w:shd w:val="clear" w:color="000000" w:fill="D0CECE"/>
            <w:vAlign w:val="center"/>
            <w:hideMark/>
          </w:tcPr>
          <w:p w14:paraId="078BFF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78" w:type="dxa"/>
            <w:tcBorders>
              <w:top w:val="nil"/>
              <w:left w:val="nil"/>
              <w:bottom w:val="single" w:sz="8" w:space="0" w:color="FFFFFF"/>
              <w:right w:val="single" w:sz="8" w:space="0" w:color="FFFFFF"/>
            </w:tcBorders>
            <w:shd w:val="clear" w:color="000000" w:fill="D0CECE"/>
            <w:vAlign w:val="center"/>
            <w:hideMark/>
          </w:tcPr>
          <w:p w14:paraId="20D13D1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c>
          <w:tcPr>
            <w:tcW w:w="878" w:type="dxa"/>
            <w:tcBorders>
              <w:top w:val="nil"/>
              <w:left w:val="nil"/>
              <w:bottom w:val="single" w:sz="8" w:space="0" w:color="FFFFFF"/>
              <w:right w:val="single" w:sz="8" w:space="0" w:color="FFFFFF"/>
            </w:tcBorders>
            <w:shd w:val="clear" w:color="000000" w:fill="D0CECE"/>
            <w:vAlign w:val="center"/>
            <w:hideMark/>
          </w:tcPr>
          <w:p w14:paraId="1620E00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w:t>
            </w:r>
          </w:p>
        </w:tc>
      </w:tr>
      <w:tr w:rsidR="00F31CFA" w:rsidRPr="00F31CFA" w14:paraId="2854742B"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2E4BEED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of England</w:t>
            </w:r>
          </w:p>
        </w:tc>
        <w:tc>
          <w:tcPr>
            <w:tcW w:w="878" w:type="dxa"/>
            <w:tcBorders>
              <w:top w:val="nil"/>
              <w:left w:val="nil"/>
              <w:bottom w:val="single" w:sz="8" w:space="0" w:color="FFFFFF"/>
              <w:right w:val="single" w:sz="8" w:space="0" w:color="FFFFFF"/>
            </w:tcBorders>
            <w:shd w:val="clear" w:color="000000" w:fill="E7EEEF"/>
            <w:vAlign w:val="center"/>
            <w:hideMark/>
          </w:tcPr>
          <w:p w14:paraId="3215D1D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7.1%</w:t>
            </w:r>
          </w:p>
        </w:tc>
        <w:tc>
          <w:tcPr>
            <w:tcW w:w="878" w:type="dxa"/>
            <w:tcBorders>
              <w:top w:val="nil"/>
              <w:left w:val="nil"/>
              <w:bottom w:val="single" w:sz="8" w:space="0" w:color="FFFFFF"/>
              <w:right w:val="single" w:sz="8" w:space="0" w:color="FFFFFF"/>
            </w:tcBorders>
            <w:shd w:val="clear" w:color="000000" w:fill="E7EEEF"/>
            <w:vAlign w:val="center"/>
            <w:hideMark/>
          </w:tcPr>
          <w:p w14:paraId="0A211ADA"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w:t>
            </w:r>
          </w:p>
        </w:tc>
        <w:tc>
          <w:tcPr>
            <w:tcW w:w="878" w:type="dxa"/>
            <w:tcBorders>
              <w:top w:val="nil"/>
              <w:left w:val="nil"/>
              <w:bottom w:val="single" w:sz="8" w:space="0" w:color="FFFFFF"/>
              <w:right w:val="single" w:sz="8" w:space="0" w:color="FFFFFF"/>
            </w:tcBorders>
            <w:shd w:val="clear" w:color="000000" w:fill="E7EEEF"/>
            <w:vAlign w:val="center"/>
            <w:hideMark/>
          </w:tcPr>
          <w:p w14:paraId="330FD19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5.4%</w:t>
            </w:r>
          </w:p>
        </w:tc>
        <w:tc>
          <w:tcPr>
            <w:tcW w:w="878" w:type="dxa"/>
            <w:tcBorders>
              <w:top w:val="nil"/>
              <w:left w:val="nil"/>
              <w:bottom w:val="single" w:sz="8" w:space="0" w:color="FFFFFF"/>
              <w:right w:val="single" w:sz="8" w:space="0" w:color="FFFFFF"/>
            </w:tcBorders>
            <w:shd w:val="clear" w:color="000000" w:fill="E7EEEF"/>
            <w:vAlign w:val="center"/>
            <w:hideMark/>
          </w:tcPr>
          <w:p w14:paraId="00E7A6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6.7%</w:t>
            </w:r>
          </w:p>
        </w:tc>
        <w:tc>
          <w:tcPr>
            <w:tcW w:w="878" w:type="dxa"/>
            <w:tcBorders>
              <w:top w:val="nil"/>
              <w:left w:val="nil"/>
              <w:bottom w:val="single" w:sz="8" w:space="0" w:color="FFFFFF"/>
              <w:right w:val="single" w:sz="8" w:space="0" w:color="FFFFFF"/>
            </w:tcBorders>
            <w:shd w:val="clear" w:color="000000" w:fill="E7EEEF"/>
            <w:vAlign w:val="center"/>
            <w:hideMark/>
          </w:tcPr>
          <w:p w14:paraId="51EF569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7.2%</w:t>
            </w:r>
          </w:p>
        </w:tc>
        <w:tc>
          <w:tcPr>
            <w:tcW w:w="878" w:type="dxa"/>
            <w:tcBorders>
              <w:top w:val="nil"/>
              <w:left w:val="nil"/>
              <w:bottom w:val="single" w:sz="8" w:space="0" w:color="FFFFFF"/>
              <w:right w:val="single" w:sz="8" w:space="0" w:color="FFFFFF"/>
            </w:tcBorders>
            <w:shd w:val="clear" w:color="000000" w:fill="E7EEEF"/>
            <w:vAlign w:val="center"/>
            <w:hideMark/>
          </w:tcPr>
          <w:p w14:paraId="65DA716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4.8%</w:t>
            </w:r>
          </w:p>
        </w:tc>
        <w:tc>
          <w:tcPr>
            <w:tcW w:w="878" w:type="dxa"/>
            <w:tcBorders>
              <w:top w:val="nil"/>
              <w:left w:val="nil"/>
              <w:bottom w:val="single" w:sz="8" w:space="0" w:color="FFFFFF"/>
              <w:right w:val="single" w:sz="8" w:space="0" w:color="FFFFFF"/>
            </w:tcBorders>
            <w:shd w:val="clear" w:color="000000" w:fill="E7EEEF"/>
            <w:vAlign w:val="center"/>
            <w:hideMark/>
          </w:tcPr>
          <w:p w14:paraId="083D030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9.4%</w:t>
            </w:r>
          </w:p>
        </w:tc>
        <w:tc>
          <w:tcPr>
            <w:tcW w:w="878" w:type="dxa"/>
            <w:tcBorders>
              <w:top w:val="nil"/>
              <w:left w:val="nil"/>
              <w:bottom w:val="single" w:sz="8" w:space="0" w:color="FFFFFF"/>
              <w:right w:val="single" w:sz="8" w:space="0" w:color="FFFFFF"/>
            </w:tcBorders>
            <w:shd w:val="clear" w:color="000000" w:fill="E7EEEF"/>
            <w:vAlign w:val="center"/>
            <w:hideMark/>
          </w:tcPr>
          <w:p w14:paraId="27A9635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6.1%</w:t>
            </w:r>
          </w:p>
        </w:tc>
      </w:tr>
      <w:tr w:rsidR="00F31CFA" w:rsidRPr="00F31CFA" w14:paraId="1FB18437"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AF9699E"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East Midlands</w:t>
            </w:r>
          </w:p>
        </w:tc>
        <w:tc>
          <w:tcPr>
            <w:tcW w:w="878" w:type="dxa"/>
            <w:tcBorders>
              <w:top w:val="nil"/>
              <w:left w:val="nil"/>
              <w:bottom w:val="single" w:sz="8" w:space="0" w:color="FFFFFF"/>
              <w:right w:val="single" w:sz="8" w:space="0" w:color="FFFFFF"/>
            </w:tcBorders>
            <w:shd w:val="clear" w:color="000000" w:fill="D0CECE"/>
            <w:vAlign w:val="center"/>
            <w:hideMark/>
          </w:tcPr>
          <w:p w14:paraId="5D559DA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78" w:type="dxa"/>
            <w:tcBorders>
              <w:top w:val="nil"/>
              <w:left w:val="nil"/>
              <w:bottom w:val="single" w:sz="8" w:space="0" w:color="FFFFFF"/>
              <w:right w:val="single" w:sz="8" w:space="0" w:color="FFFFFF"/>
            </w:tcBorders>
            <w:shd w:val="clear" w:color="000000" w:fill="D0CECE"/>
            <w:vAlign w:val="center"/>
            <w:hideMark/>
          </w:tcPr>
          <w:p w14:paraId="388CEB0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1122291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0.3%</w:t>
            </w:r>
          </w:p>
        </w:tc>
        <w:tc>
          <w:tcPr>
            <w:tcW w:w="878" w:type="dxa"/>
            <w:tcBorders>
              <w:top w:val="nil"/>
              <w:left w:val="nil"/>
              <w:bottom w:val="single" w:sz="8" w:space="0" w:color="FFFFFF"/>
              <w:right w:val="single" w:sz="8" w:space="0" w:color="FFFFFF"/>
            </w:tcBorders>
            <w:shd w:val="clear" w:color="000000" w:fill="D0CECE"/>
            <w:vAlign w:val="center"/>
            <w:hideMark/>
          </w:tcPr>
          <w:p w14:paraId="668F294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78" w:type="dxa"/>
            <w:tcBorders>
              <w:top w:val="nil"/>
              <w:left w:val="nil"/>
              <w:bottom w:val="single" w:sz="8" w:space="0" w:color="FFFFFF"/>
              <w:right w:val="single" w:sz="8" w:space="0" w:color="FFFFFF"/>
            </w:tcBorders>
            <w:shd w:val="clear" w:color="000000" w:fill="D0CECE"/>
            <w:vAlign w:val="center"/>
            <w:hideMark/>
          </w:tcPr>
          <w:p w14:paraId="1D2E6A8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5.6%</w:t>
            </w:r>
          </w:p>
        </w:tc>
        <w:tc>
          <w:tcPr>
            <w:tcW w:w="878" w:type="dxa"/>
            <w:tcBorders>
              <w:top w:val="nil"/>
              <w:left w:val="nil"/>
              <w:bottom w:val="single" w:sz="8" w:space="0" w:color="FFFFFF"/>
              <w:right w:val="single" w:sz="8" w:space="0" w:color="FFFFFF"/>
            </w:tcBorders>
            <w:shd w:val="clear" w:color="000000" w:fill="D0CECE"/>
            <w:vAlign w:val="center"/>
            <w:hideMark/>
          </w:tcPr>
          <w:p w14:paraId="18BA3EB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0.5%</w:t>
            </w:r>
          </w:p>
        </w:tc>
        <w:tc>
          <w:tcPr>
            <w:tcW w:w="878" w:type="dxa"/>
            <w:tcBorders>
              <w:top w:val="nil"/>
              <w:left w:val="nil"/>
              <w:bottom w:val="single" w:sz="8" w:space="0" w:color="FFFFFF"/>
              <w:right w:val="single" w:sz="8" w:space="0" w:color="FFFFFF"/>
            </w:tcBorders>
            <w:shd w:val="clear" w:color="000000" w:fill="D0CECE"/>
            <w:vAlign w:val="center"/>
            <w:hideMark/>
          </w:tcPr>
          <w:p w14:paraId="3C050C1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0.0%</w:t>
            </w:r>
          </w:p>
        </w:tc>
        <w:tc>
          <w:tcPr>
            <w:tcW w:w="878" w:type="dxa"/>
            <w:tcBorders>
              <w:top w:val="nil"/>
              <w:left w:val="nil"/>
              <w:bottom w:val="single" w:sz="8" w:space="0" w:color="FFFFFF"/>
              <w:right w:val="single" w:sz="8" w:space="0" w:color="FFFFFF"/>
            </w:tcBorders>
            <w:shd w:val="clear" w:color="000000" w:fill="D0CECE"/>
            <w:vAlign w:val="center"/>
            <w:hideMark/>
          </w:tcPr>
          <w:p w14:paraId="28AD69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0.1%</w:t>
            </w:r>
          </w:p>
        </w:tc>
      </w:tr>
      <w:tr w:rsidR="00F31CFA" w:rsidRPr="00F31CFA" w14:paraId="5F8772E8"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7829E5C1"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London</w:t>
            </w:r>
          </w:p>
        </w:tc>
        <w:tc>
          <w:tcPr>
            <w:tcW w:w="878" w:type="dxa"/>
            <w:tcBorders>
              <w:top w:val="nil"/>
              <w:left w:val="nil"/>
              <w:bottom w:val="single" w:sz="8" w:space="0" w:color="FFFFFF"/>
              <w:right w:val="single" w:sz="8" w:space="0" w:color="FFFFFF"/>
            </w:tcBorders>
            <w:shd w:val="clear" w:color="000000" w:fill="E7EEEF"/>
            <w:vAlign w:val="center"/>
            <w:hideMark/>
          </w:tcPr>
          <w:p w14:paraId="7A600AA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24.0%</w:t>
            </w:r>
          </w:p>
        </w:tc>
        <w:tc>
          <w:tcPr>
            <w:tcW w:w="878" w:type="dxa"/>
            <w:tcBorders>
              <w:top w:val="nil"/>
              <w:left w:val="nil"/>
              <w:bottom w:val="single" w:sz="8" w:space="0" w:color="FFFFFF"/>
              <w:right w:val="single" w:sz="8" w:space="0" w:color="FFFFFF"/>
            </w:tcBorders>
            <w:shd w:val="clear" w:color="000000" w:fill="E7EEEF"/>
            <w:vAlign w:val="center"/>
            <w:hideMark/>
          </w:tcPr>
          <w:p w14:paraId="5185BE7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26.7%</w:t>
            </w:r>
          </w:p>
        </w:tc>
        <w:tc>
          <w:tcPr>
            <w:tcW w:w="878" w:type="dxa"/>
            <w:tcBorders>
              <w:top w:val="nil"/>
              <w:left w:val="nil"/>
              <w:bottom w:val="single" w:sz="8" w:space="0" w:color="FFFFFF"/>
              <w:right w:val="single" w:sz="8" w:space="0" w:color="FFFFFF"/>
            </w:tcBorders>
            <w:shd w:val="clear" w:color="000000" w:fill="E7EEEF"/>
            <w:vAlign w:val="center"/>
            <w:hideMark/>
          </w:tcPr>
          <w:p w14:paraId="12E81F8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23.1%</w:t>
            </w:r>
          </w:p>
        </w:tc>
        <w:tc>
          <w:tcPr>
            <w:tcW w:w="878" w:type="dxa"/>
            <w:tcBorders>
              <w:top w:val="nil"/>
              <w:left w:val="nil"/>
              <w:bottom w:val="single" w:sz="8" w:space="0" w:color="FFFFFF"/>
              <w:right w:val="single" w:sz="8" w:space="0" w:color="FFFFFF"/>
            </w:tcBorders>
            <w:shd w:val="clear" w:color="000000" w:fill="E7EEEF"/>
            <w:vAlign w:val="center"/>
            <w:hideMark/>
          </w:tcPr>
          <w:p w14:paraId="6E0DC75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21.5%</w:t>
            </w:r>
          </w:p>
        </w:tc>
        <w:tc>
          <w:tcPr>
            <w:tcW w:w="878" w:type="dxa"/>
            <w:tcBorders>
              <w:top w:val="nil"/>
              <w:left w:val="nil"/>
              <w:bottom w:val="single" w:sz="8" w:space="0" w:color="FFFFFF"/>
              <w:right w:val="single" w:sz="8" w:space="0" w:color="FFFFFF"/>
            </w:tcBorders>
            <w:shd w:val="clear" w:color="000000" w:fill="E7EEEF"/>
            <w:vAlign w:val="center"/>
            <w:hideMark/>
          </w:tcPr>
          <w:p w14:paraId="21A5643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25.6%</w:t>
            </w:r>
          </w:p>
        </w:tc>
        <w:tc>
          <w:tcPr>
            <w:tcW w:w="878" w:type="dxa"/>
            <w:tcBorders>
              <w:top w:val="nil"/>
              <w:left w:val="nil"/>
              <w:bottom w:val="single" w:sz="8" w:space="0" w:color="FFFFFF"/>
              <w:right w:val="single" w:sz="8" w:space="0" w:color="FFFFFF"/>
            </w:tcBorders>
            <w:shd w:val="clear" w:color="000000" w:fill="E7EEEF"/>
            <w:vAlign w:val="center"/>
            <w:hideMark/>
          </w:tcPr>
          <w:p w14:paraId="6103804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35.2%</w:t>
            </w:r>
          </w:p>
        </w:tc>
        <w:tc>
          <w:tcPr>
            <w:tcW w:w="878" w:type="dxa"/>
            <w:tcBorders>
              <w:top w:val="nil"/>
              <w:left w:val="nil"/>
              <w:bottom w:val="single" w:sz="8" w:space="0" w:color="FFFFFF"/>
              <w:right w:val="single" w:sz="8" w:space="0" w:color="FFFFFF"/>
            </w:tcBorders>
            <w:shd w:val="clear" w:color="000000" w:fill="E7EEEF"/>
            <w:vAlign w:val="center"/>
            <w:hideMark/>
          </w:tcPr>
          <w:p w14:paraId="5E5E0BB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21.8%</w:t>
            </w:r>
          </w:p>
        </w:tc>
        <w:tc>
          <w:tcPr>
            <w:tcW w:w="878" w:type="dxa"/>
            <w:tcBorders>
              <w:top w:val="nil"/>
              <w:left w:val="nil"/>
              <w:bottom w:val="single" w:sz="8" w:space="0" w:color="FFFFFF"/>
              <w:right w:val="single" w:sz="8" w:space="0" w:color="FFFFFF"/>
            </w:tcBorders>
            <w:shd w:val="clear" w:color="000000" w:fill="E7EEEF"/>
            <w:vAlign w:val="center"/>
            <w:hideMark/>
          </w:tcPr>
          <w:p w14:paraId="58F58F4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22.4%</w:t>
            </w:r>
          </w:p>
        </w:tc>
      </w:tr>
      <w:tr w:rsidR="00F31CFA" w:rsidRPr="00F31CFA" w14:paraId="2A44B77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A502ABC"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East</w:t>
            </w:r>
          </w:p>
        </w:tc>
        <w:tc>
          <w:tcPr>
            <w:tcW w:w="878" w:type="dxa"/>
            <w:tcBorders>
              <w:top w:val="nil"/>
              <w:left w:val="nil"/>
              <w:bottom w:val="single" w:sz="8" w:space="0" w:color="FFFFFF"/>
              <w:right w:val="single" w:sz="8" w:space="0" w:color="FFFFFF"/>
            </w:tcBorders>
            <w:shd w:val="clear" w:color="000000" w:fill="D0CECE"/>
            <w:vAlign w:val="center"/>
            <w:hideMark/>
          </w:tcPr>
          <w:p w14:paraId="2084633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1.0%</w:t>
            </w:r>
          </w:p>
        </w:tc>
        <w:tc>
          <w:tcPr>
            <w:tcW w:w="878" w:type="dxa"/>
            <w:tcBorders>
              <w:top w:val="nil"/>
              <w:left w:val="nil"/>
              <w:bottom w:val="single" w:sz="8" w:space="0" w:color="FFFFFF"/>
              <w:right w:val="single" w:sz="8" w:space="0" w:color="FFFFFF"/>
            </w:tcBorders>
            <w:shd w:val="clear" w:color="000000" w:fill="D0CECE"/>
            <w:vAlign w:val="center"/>
            <w:hideMark/>
          </w:tcPr>
          <w:p w14:paraId="11DDE9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1.1%</w:t>
            </w:r>
          </w:p>
        </w:tc>
        <w:tc>
          <w:tcPr>
            <w:tcW w:w="878" w:type="dxa"/>
            <w:tcBorders>
              <w:top w:val="nil"/>
              <w:left w:val="nil"/>
              <w:bottom w:val="single" w:sz="8" w:space="0" w:color="FFFFFF"/>
              <w:right w:val="single" w:sz="8" w:space="0" w:color="FFFFFF"/>
            </w:tcBorders>
            <w:shd w:val="clear" w:color="000000" w:fill="D0CECE"/>
            <w:vAlign w:val="center"/>
            <w:hideMark/>
          </w:tcPr>
          <w:p w14:paraId="095B59E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1094157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0.7%</w:t>
            </w:r>
          </w:p>
        </w:tc>
        <w:tc>
          <w:tcPr>
            <w:tcW w:w="878" w:type="dxa"/>
            <w:tcBorders>
              <w:top w:val="nil"/>
              <w:left w:val="nil"/>
              <w:bottom w:val="single" w:sz="8" w:space="0" w:color="FFFFFF"/>
              <w:right w:val="single" w:sz="8" w:space="0" w:color="FFFFFF"/>
            </w:tcBorders>
            <w:shd w:val="clear" w:color="000000" w:fill="D0CECE"/>
            <w:vAlign w:val="center"/>
            <w:hideMark/>
          </w:tcPr>
          <w:p w14:paraId="1C08FC7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1.2%</w:t>
            </w:r>
          </w:p>
        </w:tc>
        <w:tc>
          <w:tcPr>
            <w:tcW w:w="878" w:type="dxa"/>
            <w:tcBorders>
              <w:top w:val="nil"/>
              <w:left w:val="nil"/>
              <w:bottom w:val="single" w:sz="8" w:space="0" w:color="FFFFFF"/>
              <w:right w:val="single" w:sz="8" w:space="0" w:color="FFFFFF"/>
            </w:tcBorders>
            <w:shd w:val="clear" w:color="000000" w:fill="D0CECE"/>
            <w:vAlign w:val="center"/>
            <w:hideMark/>
          </w:tcPr>
          <w:p w14:paraId="1FCACAA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1.7%</w:t>
            </w:r>
          </w:p>
        </w:tc>
        <w:tc>
          <w:tcPr>
            <w:tcW w:w="878" w:type="dxa"/>
            <w:tcBorders>
              <w:top w:val="nil"/>
              <w:left w:val="nil"/>
              <w:bottom w:val="single" w:sz="8" w:space="0" w:color="FFFFFF"/>
              <w:right w:val="single" w:sz="8" w:space="0" w:color="FFFFFF"/>
            </w:tcBorders>
            <w:shd w:val="clear" w:color="000000" w:fill="D0CECE"/>
            <w:vAlign w:val="center"/>
            <w:hideMark/>
          </w:tcPr>
          <w:p w14:paraId="41CC7B6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5CA7BE8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0.2%</w:t>
            </w:r>
          </w:p>
        </w:tc>
      </w:tr>
      <w:tr w:rsidR="00F31CFA" w:rsidRPr="00F31CFA" w14:paraId="1E3EB492"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293EAD64"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North West</w:t>
            </w:r>
          </w:p>
        </w:tc>
        <w:tc>
          <w:tcPr>
            <w:tcW w:w="878" w:type="dxa"/>
            <w:tcBorders>
              <w:top w:val="nil"/>
              <w:left w:val="nil"/>
              <w:bottom w:val="single" w:sz="8" w:space="0" w:color="FFFFFF"/>
              <w:right w:val="single" w:sz="8" w:space="0" w:color="FFFFFF"/>
            </w:tcBorders>
            <w:shd w:val="clear" w:color="000000" w:fill="E7EEEF"/>
            <w:vAlign w:val="center"/>
            <w:hideMark/>
          </w:tcPr>
          <w:p w14:paraId="648E9D6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7.8%</w:t>
            </w:r>
          </w:p>
        </w:tc>
        <w:tc>
          <w:tcPr>
            <w:tcW w:w="878" w:type="dxa"/>
            <w:tcBorders>
              <w:top w:val="nil"/>
              <w:left w:val="nil"/>
              <w:bottom w:val="single" w:sz="8" w:space="0" w:color="FFFFFF"/>
              <w:right w:val="single" w:sz="8" w:space="0" w:color="FFFFFF"/>
            </w:tcBorders>
            <w:shd w:val="clear" w:color="000000" w:fill="E7EEEF"/>
            <w:vAlign w:val="center"/>
            <w:hideMark/>
          </w:tcPr>
          <w:p w14:paraId="4E3994F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8.2%</w:t>
            </w:r>
          </w:p>
        </w:tc>
        <w:tc>
          <w:tcPr>
            <w:tcW w:w="878" w:type="dxa"/>
            <w:tcBorders>
              <w:top w:val="nil"/>
              <w:left w:val="nil"/>
              <w:bottom w:val="single" w:sz="8" w:space="0" w:color="FFFFFF"/>
              <w:right w:val="single" w:sz="8" w:space="0" w:color="FFFFFF"/>
            </w:tcBorders>
            <w:shd w:val="clear" w:color="000000" w:fill="E7EEEF"/>
            <w:vAlign w:val="center"/>
            <w:hideMark/>
          </w:tcPr>
          <w:p w14:paraId="1213CC8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6.6%</w:t>
            </w:r>
          </w:p>
        </w:tc>
        <w:tc>
          <w:tcPr>
            <w:tcW w:w="878" w:type="dxa"/>
            <w:tcBorders>
              <w:top w:val="nil"/>
              <w:left w:val="nil"/>
              <w:bottom w:val="single" w:sz="8" w:space="0" w:color="FFFFFF"/>
              <w:right w:val="single" w:sz="8" w:space="0" w:color="FFFFFF"/>
            </w:tcBorders>
            <w:shd w:val="clear" w:color="000000" w:fill="E7EEEF"/>
            <w:vAlign w:val="center"/>
            <w:hideMark/>
          </w:tcPr>
          <w:p w14:paraId="1C9AFF6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8.1%</w:t>
            </w:r>
          </w:p>
        </w:tc>
        <w:tc>
          <w:tcPr>
            <w:tcW w:w="878" w:type="dxa"/>
            <w:tcBorders>
              <w:top w:val="nil"/>
              <w:left w:val="nil"/>
              <w:bottom w:val="single" w:sz="8" w:space="0" w:color="FFFFFF"/>
              <w:right w:val="single" w:sz="8" w:space="0" w:color="FFFFFF"/>
            </w:tcBorders>
            <w:shd w:val="clear" w:color="000000" w:fill="E7EEEF"/>
            <w:vAlign w:val="center"/>
            <w:hideMark/>
          </w:tcPr>
          <w:p w14:paraId="01443B5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w:t>
            </w:r>
          </w:p>
        </w:tc>
        <w:tc>
          <w:tcPr>
            <w:tcW w:w="878" w:type="dxa"/>
            <w:tcBorders>
              <w:top w:val="nil"/>
              <w:left w:val="nil"/>
              <w:bottom w:val="single" w:sz="8" w:space="0" w:color="FFFFFF"/>
              <w:right w:val="single" w:sz="8" w:space="0" w:color="FFFFFF"/>
            </w:tcBorders>
            <w:shd w:val="clear" w:color="000000" w:fill="E7EEEF"/>
            <w:vAlign w:val="center"/>
            <w:hideMark/>
          </w:tcPr>
          <w:p w14:paraId="31A5C2F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7.7%</w:t>
            </w:r>
          </w:p>
        </w:tc>
        <w:tc>
          <w:tcPr>
            <w:tcW w:w="878" w:type="dxa"/>
            <w:tcBorders>
              <w:top w:val="nil"/>
              <w:left w:val="nil"/>
              <w:bottom w:val="single" w:sz="8" w:space="0" w:color="FFFFFF"/>
              <w:right w:val="single" w:sz="8" w:space="0" w:color="FFFFFF"/>
            </w:tcBorders>
            <w:shd w:val="clear" w:color="000000" w:fill="E7EEEF"/>
            <w:vAlign w:val="center"/>
            <w:hideMark/>
          </w:tcPr>
          <w:p w14:paraId="3F362ED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9.3%</w:t>
            </w:r>
          </w:p>
        </w:tc>
        <w:tc>
          <w:tcPr>
            <w:tcW w:w="878" w:type="dxa"/>
            <w:tcBorders>
              <w:top w:val="nil"/>
              <w:left w:val="nil"/>
              <w:bottom w:val="single" w:sz="8" w:space="0" w:color="FFFFFF"/>
              <w:right w:val="single" w:sz="8" w:space="0" w:color="FFFFFF"/>
            </w:tcBorders>
            <w:shd w:val="clear" w:color="000000" w:fill="E7EEEF"/>
            <w:vAlign w:val="center"/>
            <w:hideMark/>
          </w:tcPr>
          <w:p w14:paraId="1CAFC5A9"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9.0%</w:t>
            </w:r>
          </w:p>
        </w:tc>
      </w:tr>
      <w:tr w:rsidR="00F31CFA" w:rsidRPr="00F31CFA" w14:paraId="68137C02"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6A20626"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East</w:t>
            </w:r>
          </w:p>
        </w:tc>
        <w:tc>
          <w:tcPr>
            <w:tcW w:w="878" w:type="dxa"/>
            <w:tcBorders>
              <w:top w:val="nil"/>
              <w:left w:val="nil"/>
              <w:bottom w:val="single" w:sz="8" w:space="0" w:color="FFFFFF"/>
              <w:right w:val="single" w:sz="8" w:space="0" w:color="FFFFFF"/>
            </w:tcBorders>
            <w:shd w:val="clear" w:color="000000" w:fill="D0CECE"/>
            <w:vAlign w:val="center"/>
            <w:hideMark/>
          </w:tcPr>
          <w:p w14:paraId="70D2DA16"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25.1%</w:t>
            </w:r>
          </w:p>
        </w:tc>
        <w:tc>
          <w:tcPr>
            <w:tcW w:w="878" w:type="dxa"/>
            <w:tcBorders>
              <w:top w:val="nil"/>
              <w:left w:val="nil"/>
              <w:bottom w:val="single" w:sz="8" w:space="0" w:color="FFFFFF"/>
              <w:right w:val="single" w:sz="8" w:space="0" w:color="FFFFFF"/>
            </w:tcBorders>
            <w:shd w:val="clear" w:color="000000" w:fill="D0CECE"/>
            <w:vAlign w:val="center"/>
            <w:hideMark/>
          </w:tcPr>
          <w:p w14:paraId="6405689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23.7%</w:t>
            </w:r>
          </w:p>
        </w:tc>
        <w:tc>
          <w:tcPr>
            <w:tcW w:w="878" w:type="dxa"/>
            <w:tcBorders>
              <w:top w:val="nil"/>
              <w:left w:val="nil"/>
              <w:bottom w:val="single" w:sz="8" w:space="0" w:color="FFFFFF"/>
              <w:right w:val="single" w:sz="8" w:space="0" w:color="FFFFFF"/>
            </w:tcBorders>
            <w:shd w:val="clear" w:color="000000" w:fill="D0CECE"/>
            <w:vAlign w:val="center"/>
            <w:hideMark/>
          </w:tcPr>
          <w:p w14:paraId="3E8B3B28"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26.2%</w:t>
            </w:r>
          </w:p>
        </w:tc>
        <w:tc>
          <w:tcPr>
            <w:tcW w:w="878" w:type="dxa"/>
            <w:tcBorders>
              <w:top w:val="nil"/>
              <w:left w:val="nil"/>
              <w:bottom w:val="single" w:sz="8" w:space="0" w:color="FFFFFF"/>
              <w:right w:val="single" w:sz="8" w:space="0" w:color="FFFFFF"/>
            </w:tcBorders>
            <w:shd w:val="clear" w:color="000000" w:fill="D0CECE"/>
            <w:vAlign w:val="center"/>
            <w:hideMark/>
          </w:tcPr>
          <w:p w14:paraId="7E694B7D"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28.6%</w:t>
            </w:r>
          </w:p>
        </w:tc>
        <w:tc>
          <w:tcPr>
            <w:tcW w:w="878" w:type="dxa"/>
            <w:tcBorders>
              <w:top w:val="nil"/>
              <w:left w:val="nil"/>
              <w:bottom w:val="single" w:sz="8" w:space="0" w:color="FFFFFF"/>
              <w:right w:val="single" w:sz="8" w:space="0" w:color="FFFFFF"/>
            </w:tcBorders>
            <w:shd w:val="clear" w:color="000000" w:fill="D0CECE"/>
            <w:vAlign w:val="center"/>
            <w:hideMark/>
          </w:tcPr>
          <w:p w14:paraId="2881F2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24.4%</w:t>
            </w:r>
          </w:p>
        </w:tc>
        <w:tc>
          <w:tcPr>
            <w:tcW w:w="878" w:type="dxa"/>
            <w:tcBorders>
              <w:top w:val="nil"/>
              <w:left w:val="nil"/>
              <w:bottom w:val="single" w:sz="8" w:space="0" w:color="FFFFFF"/>
              <w:right w:val="single" w:sz="8" w:space="0" w:color="FFFFFF"/>
            </w:tcBorders>
            <w:shd w:val="clear" w:color="000000" w:fill="D0CECE"/>
            <w:vAlign w:val="center"/>
            <w:hideMark/>
          </w:tcPr>
          <w:p w14:paraId="1C307987"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20.4%</w:t>
            </w:r>
          </w:p>
        </w:tc>
        <w:tc>
          <w:tcPr>
            <w:tcW w:w="878" w:type="dxa"/>
            <w:tcBorders>
              <w:top w:val="nil"/>
              <w:left w:val="nil"/>
              <w:bottom w:val="single" w:sz="8" w:space="0" w:color="FFFFFF"/>
              <w:right w:val="single" w:sz="8" w:space="0" w:color="FFFFFF"/>
            </w:tcBorders>
            <w:shd w:val="clear" w:color="000000" w:fill="D0CECE"/>
            <w:vAlign w:val="center"/>
            <w:hideMark/>
          </w:tcPr>
          <w:p w14:paraId="0AB2F37B"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28.4%</w:t>
            </w:r>
          </w:p>
        </w:tc>
        <w:tc>
          <w:tcPr>
            <w:tcW w:w="878" w:type="dxa"/>
            <w:tcBorders>
              <w:top w:val="nil"/>
              <w:left w:val="nil"/>
              <w:bottom w:val="single" w:sz="8" w:space="0" w:color="FFFFFF"/>
              <w:right w:val="single" w:sz="8" w:space="0" w:color="FFFFFF"/>
            </w:tcBorders>
            <w:shd w:val="clear" w:color="000000" w:fill="D0CECE"/>
            <w:vAlign w:val="center"/>
            <w:hideMark/>
          </w:tcPr>
          <w:p w14:paraId="0E337B7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33.1%</w:t>
            </w:r>
          </w:p>
        </w:tc>
      </w:tr>
      <w:tr w:rsidR="00F31CFA" w:rsidRPr="00F31CFA" w14:paraId="1EDAC26F"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E895063"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South West</w:t>
            </w:r>
          </w:p>
        </w:tc>
        <w:tc>
          <w:tcPr>
            <w:tcW w:w="878" w:type="dxa"/>
            <w:tcBorders>
              <w:top w:val="nil"/>
              <w:left w:val="nil"/>
              <w:bottom w:val="single" w:sz="8" w:space="0" w:color="FFFFFF"/>
              <w:right w:val="single" w:sz="8" w:space="0" w:color="FFFFFF"/>
            </w:tcBorders>
            <w:shd w:val="clear" w:color="000000" w:fill="E7EEEF"/>
            <w:vAlign w:val="center"/>
            <w:hideMark/>
          </w:tcPr>
          <w:p w14:paraId="04DDC2E1"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5.8%</w:t>
            </w:r>
          </w:p>
        </w:tc>
        <w:tc>
          <w:tcPr>
            <w:tcW w:w="878" w:type="dxa"/>
            <w:tcBorders>
              <w:top w:val="nil"/>
              <w:left w:val="nil"/>
              <w:bottom w:val="single" w:sz="8" w:space="0" w:color="FFFFFF"/>
              <w:right w:val="single" w:sz="8" w:space="0" w:color="FFFFFF"/>
            </w:tcBorders>
            <w:shd w:val="clear" w:color="000000" w:fill="E7EEEF"/>
            <w:vAlign w:val="center"/>
            <w:hideMark/>
          </w:tcPr>
          <w:p w14:paraId="4A89EE3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4.2%</w:t>
            </w:r>
          </w:p>
        </w:tc>
        <w:tc>
          <w:tcPr>
            <w:tcW w:w="878" w:type="dxa"/>
            <w:tcBorders>
              <w:top w:val="nil"/>
              <w:left w:val="nil"/>
              <w:bottom w:val="single" w:sz="8" w:space="0" w:color="FFFFFF"/>
              <w:right w:val="single" w:sz="8" w:space="0" w:color="FFFFFF"/>
            </w:tcBorders>
            <w:shd w:val="clear" w:color="000000" w:fill="E7EEEF"/>
            <w:vAlign w:val="center"/>
            <w:hideMark/>
          </w:tcPr>
          <w:p w14:paraId="2884312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9.1%</w:t>
            </w:r>
          </w:p>
        </w:tc>
        <w:tc>
          <w:tcPr>
            <w:tcW w:w="878" w:type="dxa"/>
            <w:tcBorders>
              <w:top w:val="nil"/>
              <w:left w:val="nil"/>
              <w:bottom w:val="single" w:sz="8" w:space="0" w:color="FFFFFF"/>
              <w:right w:val="single" w:sz="8" w:space="0" w:color="FFFFFF"/>
            </w:tcBorders>
            <w:shd w:val="clear" w:color="000000" w:fill="E7EEEF"/>
            <w:vAlign w:val="center"/>
            <w:hideMark/>
          </w:tcPr>
          <w:p w14:paraId="725DC2E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7.2%</w:t>
            </w:r>
          </w:p>
        </w:tc>
        <w:tc>
          <w:tcPr>
            <w:tcW w:w="878" w:type="dxa"/>
            <w:tcBorders>
              <w:top w:val="nil"/>
              <w:left w:val="nil"/>
              <w:bottom w:val="single" w:sz="8" w:space="0" w:color="FFFFFF"/>
              <w:right w:val="single" w:sz="8" w:space="0" w:color="FFFFFF"/>
            </w:tcBorders>
            <w:shd w:val="clear" w:color="000000" w:fill="E7EEEF"/>
            <w:vAlign w:val="center"/>
            <w:hideMark/>
          </w:tcPr>
          <w:p w14:paraId="120C460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3.6%</w:t>
            </w:r>
          </w:p>
        </w:tc>
        <w:tc>
          <w:tcPr>
            <w:tcW w:w="878" w:type="dxa"/>
            <w:tcBorders>
              <w:top w:val="nil"/>
              <w:left w:val="nil"/>
              <w:bottom w:val="single" w:sz="8" w:space="0" w:color="FFFFFF"/>
              <w:right w:val="single" w:sz="8" w:space="0" w:color="FFFFFF"/>
            </w:tcBorders>
            <w:shd w:val="clear" w:color="000000" w:fill="E7EEEF"/>
            <w:vAlign w:val="center"/>
            <w:hideMark/>
          </w:tcPr>
          <w:p w14:paraId="7BE685E0"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6.0%</w:t>
            </w:r>
          </w:p>
        </w:tc>
        <w:tc>
          <w:tcPr>
            <w:tcW w:w="878" w:type="dxa"/>
            <w:tcBorders>
              <w:top w:val="nil"/>
              <w:left w:val="nil"/>
              <w:bottom w:val="single" w:sz="8" w:space="0" w:color="FFFFFF"/>
              <w:right w:val="single" w:sz="8" w:space="0" w:color="FFFFFF"/>
            </w:tcBorders>
            <w:shd w:val="clear" w:color="000000" w:fill="E7EEEF"/>
            <w:vAlign w:val="center"/>
            <w:hideMark/>
          </w:tcPr>
          <w:p w14:paraId="55AAE9B2"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5.5%</w:t>
            </w:r>
          </w:p>
        </w:tc>
        <w:tc>
          <w:tcPr>
            <w:tcW w:w="878" w:type="dxa"/>
            <w:tcBorders>
              <w:top w:val="nil"/>
              <w:left w:val="nil"/>
              <w:bottom w:val="single" w:sz="8" w:space="0" w:color="FFFFFF"/>
              <w:right w:val="single" w:sz="8" w:space="0" w:color="FFFFFF"/>
            </w:tcBorders>
            <w:shd w:val="clear" w:color="000000" w:fill="E7EEEF"/>
            <w:vAlign w:val="center"/>
            <w:hideMark/>
          </w:tcPr>
          <w:p w14:paraId="18D42D4E"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8.3%</w:t>
            </w:r>
          </w:p>
        </w:tc>
      </w:tr>
      <w:tr w:rsidR="00F31CFA" w:rsidRPr="00F31CFA" w14:paraId="6D1F3F9B"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4961DF89"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West Midlands</w:t>
            </w:r>
          </w:p>
        </w:tc>
        <w:tc>
          <w:tcPr>
            <w:tcW w:w="878" w:type="dxa"/>
            <w:tcBorders>
              <w:top w:val="nil"/>
              <w:left w:val="nil"/>
              <w:bottom w:val="single" w:sz="8" w:space="0" w:color="FFFFFF"/>
              <w:right w:val="single" w:sz="8" w:space="0" w:color="FFFFFF"/>
            </w:tcBorders>
            <w:shd w:val="clear" w:color="000000" w:fill="D0CECE"/>
            <w:vAlign w:val="center"/>
            <w:hideMark/>
          </w:tcPr>
          <w:p w14:paraId="4AC961F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3.3%</w:t>
            </w:r>
          </w:p>
        </w:tc>
        <w:tc>
          <w:tcPr>
            <w:tcW w:w="878" w:type="dxa"/>
            <w:tcBorders>
              <w:top w:val="nil"/>
              <w:left w:val="nil"/>
              <w:bottom w:val="single" w:sz="8" w:space="0" w:color="FFFFFF"/>
              <w:right w:val="single" w:sz="8" w:space="0" w:color="FFFFFF"/>
            </w:tcBorders>
            <w:shd w:val="clear" w:color="000000" w:fill="D0CECE"/>
            <w:vAlign w:val="center"/>
            <w:hideMark/>
          </w:tcPr>
          <w:p w14:paraId="2AC0EAD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45FF3D2F"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0.4%</w:t>
            </w:r>
          </w:p>
        </w:tc>
        <w:tc>
          <w:tcPr>
            <w:tcW w:w="878" w:type="dxa"/>
            <w:tcBorders>
              <w:top w:val="nil"/>
              <w:left w:val="nil"/>
              <w:bottom w:val="single" w:sz="8" w:space="0" w:color="FFFFFF"/>
              <w:right w:val="single" w:sz="8" w:space="0" w:color="FFFFFF"/>
            </w:tcBorders>
            <w:shd w:val="clear" w:color="000000" w:fill="D0CECE"/>
            <w:vAlign w:val="center"/>
            <w:hideMark/>
          </w:tcPr>
          <w:p w14:paraId="6BDB1B8C"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c>
          <w:tcPr>
            <w:tcW w:w="878" w:type="dxa"/>
            <w:tcBorders>
              <w:top w:val="nil"/>
              <w:left w:val="nil"/>
              <w:bottom w:val="single" w:sz="8" w:space="0" w:color="FFFFFF"/>
              <w:right w:val="single" w:sz="8" w:space="0" w:color="FFFFFF"/>
            </w:tcBorders>
            <w:shd w:val="clear" w:color="000000" w:fill="D0CECE"/>
            <w:vAlign w:val="center"/>
            <w:hideMark/>
          </w:tcPr>
          <w:p w14:paraId="4FBCC42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2.2%</w:t>
            </w:r>
          </w:p>
        </w:tc>
        <w:tc>
          <w:tcPr>
            <w:tcW w:w="878" w:type="dxa"/>
            <w:tcBorders>
              <w:top w:val="nil"/>
              <w:left w:val="nil"/>
              <w:bottom w:val="single" w:sz="8" w:space="0" w:color="FFFFFF"/>
              <w:right w:val="single" w:sz="8" w:space="0" w:color="FFFFFF"/>
            </w:tcBorders>
            <w:shd w:val="clear" w:color="000000" w:fill="D0CECE"/>
            <w:vAlign w:val="center"/>
            <w:hideMark/>
          </w:tcPr>
          <w:p w14:paraId="17BD83B4"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0.8%</w:t>
            </w:r>
          </w:p>
        </w:tc>
        <w:tc>
          <w:tcPr>
            <w:tcW w:w="878" w:type="dxa"/>
            <w:tcBorders>
              <w:top w:val="nil"/>
              <w:left w:val="nil"/>
              <w:bottom w:val="single" w:sz="8" w:space="0" w:color="FFFFFF"/>
              <w:right w:val="single" w:sz="8" w:space="0" w:color="FFFFFF"/>
            </w:tcBorders>
            <w:shd w:val="clear" w:color="000000" w:fill="D0CECE"/>
            <w:vAlign w:val="center"/>
            <w:hideMark/>
          </w:tcPr>
          <w:p w14:paraId="5C725613"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1.5%</w:t>
            </w:r>
          </w:p>
        </w:tc>
        <w:tc>
          <w:tcPr>
            <w:tcW w:w="878" w:type="dxa"/>
            <w:tcBorders>
              <w:top w:val="nil"/>
              <w:left w:val="nil"/>
              <w:bottom w:val="single" w:sz="8" w:space="0" w:color="FFFFFF"/>
              <w:right w:val="single" w:sz="8" w:space="0" w:color="FFFFFF"/>
            </w:tcBorders>
            <w:shd w:val="clear" w:color="000000" w:fill="D0CECE"/>
            <w:vAlign w:val="center"/>
            <w:hideMark/>
          </w:tcPr>
          <w:p w14:paraId="295CEDE5" w14:textId="77777777" w:rsidR="00F31CFA" w:rsidRPr="00F31CFA" w:rsidRDefault="00F31CFA" w:rsidP="00F31CFA">
            <w:pPr>
              <w:spacing w:after="0"/>
              <w:jc w:val="center"/>
              <w:rPr>
                <w:rFonts w:ascii="Calibri" w:eastAsia="Times New Roman" w:hAnsi="Calibri"/>
                <w:color w:val="000000"/>
                <w:sz w:val="18"/>
                <w:szCs w:val="18"/>
                <w:lang w:eastAsia="en-GB"/>
              </w:rPr>
            </w:pPr>
            <w:r w:rsidRPr="00F31CFA">
              <w:rPr>
                <w:rFonts w:ascii="Calibri" w:eastAsia="Times New Roman" w:hAnsi="Calibri"/>
                <w:color w:val="000000"/>
                <w:sz w:val="18"/>
                <w:szCs w:val="18"/>
                <w:lang w:eastAsia="en-GB"/>
              </w:rPr>
              <w:t>0.9%</w:t>
            </w:r>
          </w:p>
        </w:tc>
      </w:tr>
      <w:tr w:rsidR="00F31CFA" w:rsidRPr="00F31CFA" w14:paraId="7B9D7CD4" w14:textId="77777777" w:rsidTr="008D0671">
        <w:trPr>
          <w:trHeight w:val="328"/>
        </w:trPr>
        <w:tc>
          <w:tcPr>
            <w:tcW w:w="2457" w:type="dxa"/>
            <w:tcBorders>
              <w:top w:val="nil"/>
              <w:left w:val="nil"/>
              <w:bottom w:val="single" w:sz="12" w:space="0" w:color="FFFFFF"/>
              <w:right w:val="single" w:sz="8" w:space="0" w:color="FFFFFF"/>
            </w:tcBorders>
            <w:shd w:val="clear" w:color="000000" w:fill="008C9B"/>
            <w:vAlign w:val="center"/>
            <w:hideMark/>
          </w:tcPr>
          <w:p w14:paraId="62D82035" w14:textId="77777777" w:rsidR="00F31CFA" w:rsidRPr="00F31CFA" w:rsidRDefault="00F31CFA" w:rsidP="00F31CFA">
            <w:pPr>
              <w:spacing w:after="0"/>
              <w:rPr>
                <w:rFonts w:ascii="Calibri" w:eastAsia="Times New Roman" w:hAnsi="Calibri"/>
                <w:color w:val="FFFFFF"/>
                <w:sz w:val="20"/>
                <w:lang w:eastAsia="en-GB"/>
              </w:rPr>
            </w:pPr>
            <w:r w:rsidRPr="00F31CFA">
              <w:rPr>
                <w:rFonts w:ascii="Calibri" w:eastAsia="Times New Roman" w:hAnsi="Calibri"/>
                <w:color w:val="FFFFFF"/>
                <w:sz w:val="20"/>
                <w:lang w:eastAsia="en-GB"/>
              </w:rPr>
              <w:t>Yorkshire and the Humber</w:t>
            </w:r>
          </w:p>
        </w:tc>
        <w:tc>
          <w:tcPr>
            <w:tcW w:w="878" w:type="dxa"/>
            <w:tcBorders>
              <w:top w:val="nil"/>
              <w:left w:val="nil"/>
              <w:bottom w:val="single" w:sz="8" w:space="0" w:color="FFFFFF"/>
              <w:right w:val="single" w:sz="8" w:space="0" w:color="FFFFFF"/>
            </w:tcBorders>
            <w:shd w:val="clear" w:color="000000" w:fill="E7EEEF"/>
            <w:vAlign w:val="center"/>
            <w:hideMark/>
          </w:tcPr>
          <w:p w14:paraId="185877AF"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4.2%</w:t>
            </w:r>
          </w:p>
        </w:tc>
        <w:tc>
          <w:tcPr>
            <w:tcW w:w="878" w:type="dxa"/>
            <w:tcBorders>
              <w:top w:val="nil"/>
              <w:left w:val="nil"/>
              <w:bottom w:val="single" w:sz="8" w:space="0" w:color="FFFFFF"/>
              <w:right w:val="single" w:sz="8" w:space="0" w:color="FFFFFF"/>
            </w:tcBorders>
            <w:shd w:val="clear" w:color="000000" w:fill="E7EEEF"/>
            <w:vAlign w:val="center"/>
            <w:hideMark/>
          </w:tcPr>
          <w:p w14:paraId="14F433AB"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3.2%</w:t>
            </w:r>
          </w:p>
        </w:tc>
        <w:tc>
          <w:tcPr>
            <w:tcW w:w="878" w:type="dxa"/>
            <w:tcBorders>
              <w:top w:val="nil"/>
              <w:left w:val="nil"/>
              <w:bottom w:val="single" w:sz="8" w:space="0" w:color="FFFFFF"/>
              <w:right w:val="single" w:sz="8" w:space="0" w:color="FFFFFF"/>
            </w:tcBorders>
            <w:shd w:val="clear" w:color="000000" w:fill="E7EEEF"/>
            <w:vAlign w:val="center"/>
            <w:hideMark/>
          </w:tcPr>
          <w:p w14:paraId="776ED85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5.8%</w:t>
            </w:r>
          </w:p>
        </w:tc>
        <w:tc>
          <w:tcPr>
            <w:tcW w:w="878" w:type="dxa"/>
            <w:tcBorders>
              <w:top w:val="nil"/>
              <w:left w:val="nil"/>
              <w:bottom w:val="single" w:sz="8" w:space="0" w:color="FFFFFF"/>
              <w:right w:val="single" w:sz="8" w:space="0" w:color="FFFFFF"/>
            </w:tcBorders>
            <w:shd w:val="clear" w:color="000000" w:fill="E7EEEF"/>
            <w:vAlign w:val="center"/>
            <w:hideMark/>
          </w:tcPr>
          <w:p w14:paraId="726EB522"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3.2%</w:t>
            </w:r>
          </w:p>
        </w:tc>
        <w:tc>
          <w:tcPr>
            <w:tcW w:w="878" w:type="dxa"/>
            <w:tcBorders>
              <w:top w:val="nil"/>
              <w:left w:val="nil"/>
              <w:bottom w:val="single" w:sz="8" w:space="0" w:color="FFFFFF"/>
              <w:right w:val="single" w:sz="8" w:space="0" w:color="FFFFFF"/>
            </w:tcBorders>
            <w:shd w:val="clear" w:color="000000" w:fill="E7EEEF"/>
            <w:vAlign w:val="center"/>
            <w:hideMark/>
          </w:tcPr>
          <w:p w14:paraId="1C27BB4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0.7%</w:t>
            </w:r>
          </w:p>
        </w:tc>
        <w:tc>
          <w:tcPr>
            <w:tcW w:w="878" w:type="dxa"/>
            <w:tcBorders>
              <w:top w:val="nil"/>
              <w:left w:val="nil"/>
              <w:bottom w:val="single" w:sz="8" w:space="0" w:color="FFFFFF"/>
              <w:right w:val="single" w:sz="8" w:space="0" w:color="FFFFFF"/>
            </w:tcBorders>
            <w:shd w:val="clear" w:color="000000" w:fill="E7EEEF"/>
            <w:vAlign w:val="center"/>
            <w:hideMark/>
          </w:tcPr>
          <w:p w14:paraId="3B48A295"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3.3%</w:t>
            </w:r>
          </w:p>
        </w:tc>
        <w:tc>
          <w:tcPr>
            <w:tcW w:w="878" w:type="dxa"/>
            <w:tcBorders>
              <w:top w:val="nil"/>
              <w:left w:val="nil"/>
              <w:bottom w:val="single" w:sz="8" w:space="0" w:color="FFFFFF"/>
              <w:right w:val="single" w:sz="8" w:space="0" w:color="FFFFFF"/>
            </w:tcBorders>
            <w:shd w:val="clear" w:color="000000" w:fill="E7EEEF"/>
            <w:vAlign w:val="center"/>
            <w:hideMark/>
          </w:tcPr>
          <w:p w14:paraId="6C91F768"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2.0%</w:t>
            </w:r>
          </w:p>
        </w:tc>
        <w:tc>
          <w:tcPr>
            <w:tcW w:w="878" w:type="dxa"/>
            <w:tcBorders>
              <w:top w:val="nil"/>
              <w:left w:val="nil"/>
              <w:bottom w:val="single" w:sz="8" w:space="0" w:color="FFFFFF"/>
              <w:right w:val="single" w:sz="8" w:space="0" w:color="FFFFFF"/>
            </w:tcBorders>
            <w:shd w:val="clear" w:color="000000" w:fill="E7EEEF"/>
            <w:vAlign w:val="center"/>
            <w:hideMark/>
          </w:tcPr>
          <w:p w14:paraId="36CD4359" w14:textId="77777777" w:rsidR="00F31CFA" w:rsidRPr="00F31CFA" w:rsidRDefault="00F31CFA" w:rsidP="00F31CFA">
            <w:pPr>
              <w:spacing w:after="0"/>
              <w:jc w:val="center"/>
              <w:rPr>
                <w:rFonts w:ascii="Calibri" w:eastAsia="Times New Roman" w:hAnsi="Calibri"/>
                <w:color w:val="000000"/>
                <w:sz w:val="20"/>
                <w:lang w:eastAsia="en-GB"/>
              </w:rPr>
            </w:pPr>
            <w:r w:rsidRPr="00F31CFA">
              <w:rPr>
                <w:rFonts w:ascii="Calibri" w:eastAsia="Times New Roman" w:hAnsi="Calibri"/>
                <w:color w:val="000000"/>
                <w:sz w:val="20"/>
                <w:lang w:eastAsia="en-GB"/>
              </w:rPr>
              <w:t>1.3%</w:t>
            </w:r>
          </w:p>
        </w:tc>
      </w:tr>
    </w:tbl>
    <w:p w14:paraId="1BFD277A" w14:textId="18DF0690" w:rsidR="00DF6654" w:rsidRPr="006A1032" w:rsidRDefault="00AC5E49" w:rsidP="00F31CFA">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00B59EF3" w14:textId="77777777" w:rsidR="00BD2AE3" w:rsidRDefault="00BD2AE3" w:rsidP="00BD2AE3">
      <w:pPr>
        <w:pStyle w:val="Heading3"/>
      </w:pPr>
      <w:r>
        <w:t xml:space="preserve">Leisure marine and marine engineering and scientific industries </w:t>
      </w:r>
    </w:p>
    <w:p w14:paraId="529F6DB9" w14:textId="77777777" w:rsidR="00BD2AE3" w:rsidRDefault="00BD2AE3" w:rsidP="00BD2AE3">
      <w:pPr>
        <w:pStyle w:val="ListBullet"/>
        <w:numPr>
          <w:ilvl w:val="0"/>
          <w:numId w:val="0"/>
        </w:numPr>
        <w:spacing w:after="120"/>
        <w:rPr>
          <w:rFonts w:ascii="Calibri" w:eastAsia="Microsoft JhengHei" w:hAnsi="Calibri"/>
          <w:szCs w:val="22"/>
        </w:rPr>
      </w:pPr>
      <w:r>
        <w:rPr>
          <w:rFonts w:ascii="Calibri" w:eastAsia="Microsoft JhengHei" w:hAnsi="Calibri"/>
          <w:szCs w:val="22"/>
        </w:rPr>
        <w:t>A key source informing the regional disaggregation of the economic activity of the leisure marine and marine engineering and scientific industries is the British Marine Key Performance Indicators, providing the share of leisure marine industry revenue, employment, exports and business numbers across each UK region between 2010 and 2017. GVA for the leisure marine industry in each region has then been estimated using GVA-to-employment ratios.</w:t>
      </w:r>
    </w:p>
    <w:p w14:paraId="0EC7D950" w14:textId="5BB55D38" w:rsidR="008D0671" w:rsidRPr="008D0671" w:rsidRDefault="00BD2AE3" w:rsidP="008D0671">
      <w:pPr>
        <w:pStyle w:val="ListBullet"/>
        <w:numPr>
          <w:ilvl w:val="0"/>
          <w:numId w:val="0"/>
        </w:numPr>
        <w:spacing w:after="120"/>
        <w:rPr>
          <w:rFonts w:ascii="Calibri" w:eastAsia="Microsoft JhengHei" w:hAnsi="Calibri"/>
          <w:szCs w:val="22"/>
        </w:rPr>
      </w:pPr>
      <w:r>
        <w:rPr>
          <w:rFonts w:ascii="Calibri" w:eastAsia="Microsoft JhengHei" w:hAnsi="Calibri"/>
          <w:szCs w:val="22"/>
        </w:rPr>
        <w:t xml:space="preserve">Following the approach taken for the shipping and ports industries (see above), a combination of data sourced from BRES and the Annual Business Survey have been used to estimate the proportion of employment in Shipbuilding and Marine Offshore Oil and Gas support activities across each UK region. These are set out in </w:t>
      </w:r>
      <w:r w:rsidR="008D0671">
        <w:rPr>
          <w:rFonts w:ascii="Calibri" w:eastAsia="Microsoft JhengHei" w:hAnsi="Calibri"/>
          <w:szCs w:val="22"/>
        </w:rPr>
        <w:fldChar w:fldCharType="begin"/>
      </w:r>
      <w:r w:rsidR="008D0671">
        <w:rPr>
          <w:rFonts w:ascii="Calibri" w:eastAsia="Microsoft JhengHei" w:hAnsi="Calibri"/>
          <w:szCs w:val="22"/>
        </w:rPr>
        <w:instrText xml:space="preserve"> REF _Ref490044754 \h </w:instrText>
      </w:r>
      <w:r w:rsidR="008D0671">
        <w:rPr>
          <w:rFonts w:ascii="Calibri" w:eastAsia="Microsoft JhengHei" w:hAnsi="Calibri"/>
          <w:szCs w:val="22"/>
        </w:rPr>
      </w:r>
      <w:r w:rsidR="008D0671">
        <w:rPr>
          <w:rFonts w:ascii="Calibri" w:eastAsia="Microsoft JhengHei" w:hAnsi="Calibri"/>
          <w:szCs w:val="22"/>
        </w:rPr>
        <w:fldChar w:fldCharType="separate"/>
      </w:r>
      <w:r w:rsidR="008D0671">
        <w:t xml:space="preserve">Table </w:t>
      </w:r>
      <w:r w:rsidR="008D0671">
        <w:rPr>
          <w:noProof/>
        </w:rPr>
        <w:t>7</w:t>
      </w:r>
      <w:r w:rsidR="008D0671">
        <w:rPr>
          <w:rFonts w:ascii="Calibri" w:eastAsia="Microsoft JhengHei" w:hAnsi="Calibri"/>
          <w:szCs w:val="22"/>
        </w:rPr>
        <w:fldChar w:fldCharType="end"/>
      </w:r>
      <w:r w:rsidR="008D0671">
        <w:rPr>
          <w:rFonts w:ascii="Calibri" w:eastAsia="Microsoft JhengHei" w:hAnsi="Calibri"/>
          <w:szCs w:val="22"/>
        </w:rPr>
        <w:t xml:space="preserve"> and </w:t>
      </w:r>
      <w:r w:rsidR="008D0671">
        <w:rPr>
          <w:rFonts w:ascii="Calibri" w:eastAsia="Microsoft JhengHei" w:hAnsi="Calibri"/>
          <w:szCs w:val="22"/>
        </w:rPr>
        <w:fldChar w:fldCharType="begin"/>
      </w:r>
      <w:r w:rsidR="008D0671">
        <w:rPr>
          <w:rFonts w:ascii="Calibri" w:eastAsia="Microsoft JhengHei" w:hAnsi="Calibri"/>
          <w:szCs w:val="22"/>
        </w:rPr>
        <w:instrText xml:space="preserve"> REF _Ref490044761 \h </w:instrText>
      </w:r>
      <w:r w:rsidR="008D0671">
        <w:rPr>
          <w:rFonts w:ascii="Calibri" w:eastAsia="Microsoft JhengHei" w:hAnsi="Calibri"/>
          <w:szCs w:val="22"/>
        </w:rPr>
      </w:r>
      <w:r w:rsidR="008D0671">
        <w:rPr>
          <w:rFonts w:ascii="Calibri" w:eastAsia="Microsoft JhengHei" w:hAnsi="Calibri"/>
          <w:szCs w:val="22"/>
        </w:rPr>
        <w:fldChar w:fldCharType="separate"/>
      </w:r>
      <w:r w:rsidR="008D0671">
        <w:t xml:space="preserve">Table </w:t>
      </w:r>
      <w:r w:rsidR="008D0671">
        <w:rPr>
          <w:noProof/>
        </w:rPr>
        <w:t>8</w:t>
      </w:r>
      <w:r w:rsidR="008D0671">
        <w:rPr>
          <w:rFonts w:ascii="Calibri" w:eastAsia="Microsoft JhengHei" w:hAnsi="Calibri"/>
          <w:szCs w:val="22"/>
        </w:rPr>
        <w:fldChar w:fldCharType="end"/>
      </w:r>
      <w:r w:rsidR="008D0671">
        <w:rPr>
          <w:rFonts w:ascii="Calibri" w:eastAsia="Microsoft JhengHei" w:hAnsi="Calibri"/>
          <w:szCs w:val="22"/>
        </w:rPr>
        <w:t xml:space="preserve"> </w:t>
      </w:r>
      <w:r w:rsidR="006A1032">
        <w:rPr>
          <w:rFonts w:ascii="Calibri" w:eastAsia="Microsoft JhengHei" w:hAnsi="Calibri"/>
          <w:szCs w:val="22"/>
        </w:rPr>
        <w:t xml:space="preserve">respectively below. </w:t>
      </w:r>
      <w:bookmarkStart w:id="32" w:name="_Ref490044754"/>
    </w:p>
    <w:p w14:paraId="2D79E433" w14:textId="77777777" w:rsidR="008D0671" w:rsidRDefault="008D0671" w:rsidP="008E0882">
      <w:pPr>
        <w:pStyle w:val="Caption"/>
        <w:keepNext/>
      </w:pPr>
    </w:p>
    <w:p w14:paraId="38343A64" w14:textId="77777777" w:rsidR="008D0671" w:rsidRDefault="008D0671" w:rsidP="008E0882">
      <w:pPr>
        <w:pStyle w:val="Caption"/>
        <w:keepNext/>
      </w:pPr>
    </w:p>
    <w:p w14:paraId="46B0DB34" w14:textId="77777777" w:rsidR="008D0671" w:rsidRDefault="008D0671" w:rsidP="008E0882">
      <w:pPr>
        <w:pStyle w:val="Caption"/>
        <w:keepNext/>
      </w:pPr>
    </w:p>
    <w:p w14:paraId="09D641AC" w14:textId="77777777" w:rsidR="008D0671" w:rsidRDefault="008D0671" w:rsidP="008E0882">
      <w:pPr>
        <w:pStyle w:val="Caption"/>
        <w:keepNext/>
      </w:pPr>
    </w:p>
    <w:p w14:paraId="7BA2068C" w14:textId="77777777" w:rsidR="008D0671" w:rsidRDefault="008D0671" w:rsidP="008E0882">
      <w:pPr>
        <w:pStyle w:val="Caption"/>
        <w:keepNext/>
      </w:pPr>
    </w:p>
    <w:p w14:paraId="11E2295D" w14:textId="77777777" w:rsidR="008D0671" w:rsidRDefault="008D0671" w:rsidP="008E0882">
      <w:pPr>
        <w:pStyle w:val="Caption"/>
        <w:keepNext/>
      </w:pPr>
    </w:p>
    <w:p w14:paraId="04C421E0" w14:textId="77777777" w:rsidR="008D0671" w:rsidRDefault="008D0671" w:rsidP="008E0882">
      <w:pPr>
        <w:pStyle w:val="Caption"/>
        <w:keepNext/>
      </w:pPr>
    </w:p>
    <w:p w14:paraId="004CF271" w14:textId="77777777" w:rsidR="008D0671" w:rsidRPr="008D0671" w:rsidRDefault="008D0671" w:rsidP="008D0671"/>
    <w:p w14:paraId="7354339D" w14:textId="77777777" w:rsidR="008D0671" w:rsidRDefault="008D0671" w:rsidP="008E0882">
      <w:pPr>
        <w:pStyle w:val="Caption"/>
        <w:keepNext/>
      </w:pPr>
    </w:p>
    <w:p w14:paraId="05A04BD8" w14:textId="0096B80B" w:rsidR="008E0882" w:rsidRDefault="008E0882" w:rsidP="008E0882">
      <w:pPr>
        <w:pStyle w:val="Caption"/>
        <w:keepNext/>
      </w:pPr>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7</w:t>
      </w:r>
      <w:r w:rsidR="00A420C1">
        <w:rPr>
          <w:noProof/>
        </w:rPr>
        <w:fldChar w:fldCharType="end"/>
      </w:r>
      <w:bookmarkEnd w:id="32"/>
      <w:r>
        <w:t xml:space="preserve">: </w:t>
      </w:r>
      <w:r w:rsidRPr="00E0593A">
        <w:t>The breakdown of UK employment in Shipbuilding activities as implied by BRES and ABS, 2010 to 201</w:t>
      </w:r>
      <w:r w:rsidR="00F332D8">
        <w:t>7</w:t>
      </w:r>
    </w:p>
    <w:tbl>
      <w:tblPr>
        <w:tblW w:w="9469" w:type="dxa"/>
        <w:tblLook w:val="04A0" w:firstRow="1" w:lastRow="0" w:firstColumn="1" w:lastColumn="0" w:noHBand="0" w:noVBand="1"/>
      </w:tblPr>
      <w:tblGrid>
        <w:gridCol w:w="2453"/>
        <w:gridCol w:w="877"/>
        <w:gridCol w:w="877"/>
        <w:gridCol w:w="877"/>
        <w:gridCol w:w="877"/>
        <w:gridCol w:w="877"/>
        <w:gridCol w:w="877"/>
        <w:gridCol w:w="877"/>
        <w:gridCol w:w="877"/>
      </w:tblGrid>
      <w:tr w:rsidR="00CD65E7" w:rsidRPr="00CD65E7" w14:paraId="05ED6382" w14:textId="77777777" w:rsidTr="00AB58F0">
        <w:trPr>
          <w:trHeight w:val="185"/>
        </w:trPr>
        <w:tc>
          <w:tcPr>
            <w:tcW w:w="2453" w:type="dxa"/>
            <w:tcBorders>
              <w:top w:val="single" w:sz="8" w:space="0" w:color="FFFFFF"/>
              <w:left w:val="nil"/>
              <w:bottom w:val="single" w:sz="12" w:space="0" w:color="FFFFFF"/>
              <w:right w:val="single" w:sz="8" w:space="0" w:color="FFFFFF"/>
            </w:tcBorders>
            <w:shd w:val="clear" w:color="000000" w:fill="008C9B"/>
            <w:vAlign w:val="center"/>
            <w:hideMark/>
          </w:tcPr>
          <w:p w14:paraId="0B9BA12D" w14:textId="77777777" w:rsidR="00CD65E7" w:rsidRPr="00CD65E7" w:rsidRDefault="00CD65E7" w:rsidP="00CD65E7">
            <w:pPr>
              <w:spacing w:after="0"/>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Shipbuilding Employment</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6C82FF61"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2010</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788C29BD"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2011</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342A4174"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2012</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541DDA7A"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2013</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18536446"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2014</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523A7EC3"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2015</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291DD48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2016</w:t>
            </w:r>
          </w:p>
        </w:tc>
        <w:tc>
          <w:tcPr>
            <w:tcW w:w="877" w:type="dxa"/>
            <w:tcBorders>
              <w:top w:val="single" w:sz="8" w:space="0" w:color="FFFFFF"/>
              <w:left w:val="nil"/>
              <w:bottom w:val="single" w:sz="12" w:space="0" w:color="FFFFFF"/>
              <w:right w:val="single" w:sz="8" w:space="0" w:color="FFFFFF"/>
            </w:tcBorders>
            <w:shd w:val="clear" w:color="000000" w:fill="008C9B"/>
            <w:vAlign w:val="center"/>
            <w:hideMark/>
          </w:tcPr>
          <w:p w14:paraId="787043FE"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2017</w:t>
            </w:r>
          </w:p>
        </w:tc>
      </w:tr>
      <w:tr w:rsidR="00CD65E7" w:rsidRPr="00CD65E7" w14:paraId="0AE10F5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7F0F2BF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England</w:t>
            </w:r>
          </w:p>
        </w:tc>
        <w:tc>
          <w:tcPr>
            <w:tcW w:w="877" w:type="dxa"/>
            <w:tcBorders>
              <w:top w:val="nil"/>
              <w:left w:val="nil"/>
              <w:bottom w:val="single" w:sz="8" w:space="0" w:color="FFFFFF"/>
              <w:right w:val="single" w:sz="8" w:space="0" w:color="FFFFFF"/>
            </w:tcBorders>
            <w:shd w:val="clear" w:color="000000" w:fill="E7EEEF"/>
            <w:vAlign w:val="center"/>
            <w:hideMark/>
          </w:tcPr>
          <w:p w14:paraId="0417B13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68.9%</w:t>
            </w:r>
          </w:p>
        </w:tc>
        <w:tc>
          <w:tcPr>
            <w:tcW w:w="877" w:type="dxa"/>
            <w:tcBorders>
              <w:top w:val="nil"/>
              <w:left w:val="nil"/>
              <w:bottom w:val="single" w:sz="8" w:space="0" w:color="FFFFFF"/>
              <w:right w:val="single" w:sz="8" w:space="0" w:color="FFFFFF"/>
            </w:tcBorders>
            <w:shd w:val="clear" w:color="000000" w:fill="E7EEEF"/>
            <w:vAlign w:val="center"/>
            <w:hideMark/>
          </w:tcPr>
          <w:p w14:paraId="1BF5CA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68.8%</w:t>
            </w:r>
          </w:p>
        </w:tc>
        <w:tc>
          <w:tcPr>
            <w:tcW w:w="877" w:type="dxa"/>
            <w:tcBorders>
              <w:top w:val="nil"/>
              <w:left w:val="nil"/>
              <w:bottom w:val="single" w:sz="8" w:space="0" w:color="FFFFFF"/>
              <w:right w:val="single" w:sz="8" w:space="0" w:color="FFFFFF"/>
            </w:tcBorders>
            <w:shd w:val="clear" w:color="000000" w:fill="E7EEEF"/>
            <w:vAlign w:val="center"/>
            <w:hideMark/>
          </w:tcPr>
          <w:p w14:paraId="3F59A8E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67.6%</w:t>
            </w:r>
          </w:p>
        </w:tc>
        <w:tc>
          <w:tcPr>
            <w:tcW w:w="877" w:type="dxa"/>
            <w:tcBorders>
              <w:top w:val="nil"/>
              <w:left w:val="nil"/>
              <w:bottom w:val="single" w:sz="8" w:space="0" w:color="FFFFFF"/>
              <w:right w:val="single" w:sz="8" w:space="0" w:color="FFFFFF"/>
            </w:tcBorders>
            <w:shd w:val="clear" w:color="000000" w:fill="E7EEEF"/>
            <w:vAlign w:val="center"/>
            <w:hideMark/>
          </w:tcPr>
          <w:p w14:paraId="6DB1016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67.5%</w:t>
            </w:r>
          </w:p>
        </w:tc>
        <w:tc>
          <w:tcPr>
            <w:tcW w:w="877" w:type="dxa"/>
            <w:tcBorders>
              <w:top w:val="nil"/>
              <w:left w:val="nil"/>
              <w:bottom w:val="single" w:sz="8" w:space="0" w:color="FFFFFF"/>
              <w:right w:val="single" w:sz="8" w:space="0" w:color="FFFFFF"/>
            </w:tcBorders>
            <w:shd w:val="clear" w:color="000000" w:fill="E7EEEF"/>
            <w:vAlign w:val="center"/>
            <w:hideMark/>
          </w:tcPr>
          <w:p w14:paraId="3A90A13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65.1%</w:t>
            </w:r>
          </w:p>
        </w:tc>
        <w:tc>
          <w:tcPr>
            <w:tcW w:w="877" w:type="dxa"/>
            <w:tcBorders>
              <w:top w:val="nil"/>
              <w:left w:val="nil"/>
              <w:bottom w:val="single" w:sz="8" w:space="0" w:color="FFFFFF"/>
              <w:right w:val="single" w:sz="8" w:space="0" w:color="FFFFFF"/>
            </w:tcBorders>
            <w:shd w:val="clear" w:color="000000" w:fill="E7EEEF"/>
            <w:vAlign w:val="center"/>
            <w:hideMark/>
          </w:tcPr>
          <w:p w14:paraId="5984B28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69.9%</w:t>
            </w:r>
          </w:p>
        </w:tc>
        <w:tc>
          <w:tcPr>
            <w:tcW w:w="877" w:type="dxa"/>
            <w:tcBorders>
              <w:top w:val="nil"/>
              <w:left w:val="nil"/>
              <w:bottom w:val="single" w:sz="8" w:space="0" w:color="FFFFFF"/>
              <w:right w:val="single" w:sz="8" w:space="0" w:color="FFFFFF"/>
            </w:tcBorders>
            <w:shd w:val="clear" w:color="000000" w:fill="E7EEEF"/>
            <w:vAlign w:val="center"/>
            <w:hideMark/>
          </w:tcPr>
          <w:p w14:paraId="52C214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68.0%</w:t>
            </w:r>
          </w:p>
        </w:tc>
        <w:tc>
          <w:tcPr>
            <w:tcW w:w="877" w:type="dxa"/>
            <w:tcBorders>
              <w:top w:val="nil"/>
              <w:left w:val="nil"/>
              <w:bottom w:val="single" w:sz="8" w:space="0" w:color="FFFFFF"/>
              <w:right w:val="single" w:sz="8" w:space="0" w:color="FFFFFF"/>
            </w:tcBorders>
            <w:shd w:val="clear" w:color="000000" w:fill="E7EEEF"/>
            <w:vAlign w:val="center"/>
            <w:hideMark/>
          </w:tcPr>
          <w:p w14:paraId="7A9A41F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68.1%</w:t>
            </w:r>
          </w:p>
        </w:tc>
      </w:tr>
      <w:tr w:rsidR="00CD65E7" w:rsidRPr="00CD65E7" w14:paraId="7BE3B003"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77169DC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Scotland</w:t>
            </w:r>
          </w:p>
        </w:tc>
        <w:tc>
          <w:tcPr>
            <w:tcW w:w="877" w:type="dxa"/>
            <w:tcBorders>
              <w:top w:val="nil"/>
              <w:left w:val="nil"/>
              <w:bottom w:val="single" w:sz="8" w:space="0" w:color="FFFFFF"/>
              <w:right w:val="single" w:sz="8" w:space="0" w:color="FFFFFF"/>
            </w:tcBorders>
            <w:shd w:val="clear" w:color="000000" w:fill="D0CECE"/>
            <w:vAlign w:val="center"/>
            <w:hideMark/>
          </w:tcPr>
          <w:p w14:paraId="39AFA9F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D0CECE"/>
            <w:vAlign w:val="center"/>
            <w:hideMark/>
          </w:tcPr>
          <w:p w14:paraId="23185E7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D0CECE"/>
            <w:vAlign w:val="center"/>
            <w:hideMark/>
          </w:tcPr>
          <w:p w14:paraId="78EBFC9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28.0%</w:t>
            </w:r>
          </w:p>
        </w:tc>
        <w:tc>
          <w:tcPr>
            <w:tcW w:w="877" w:type="dxa"/>
            <w:tcBorders>
              <w:top w:val="nil"/>
              <w:left w:val="nil"/>
              <w:bottom w:val="single" w:sz="8" w:space="0" w:color="FFFFFF"/>
              <w:right w:val="single" w:sz="8" w:space="0" w:color="FFFFFF"/>
            </w:tcBorders>
            <w:shd w:val="clear" w:color="000000" w:fill="D0CECE"/>
            <w:vAlign w:val="center"/>
            <w:hideMark/>
          </w:tcPr>
          <w:p w14:paraId="10467AD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D0CECE"/>
            <w:vAlign w:val="center"/>
            <w:hideMark/>
          </w:tcPr>
          <w:p w14:paraId="7AE323F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30.6%</w:t>
            </w:r>
          </w:p>
        </w:tc>
        <w:tc>
          <w:tcPr>
            <w:tcW w:w="877" w:type="dxa"/>
            <w:tcBorders>
              <w:top w:val="nil"/>
              <w:left w:val="nil"/>
              <w:bottom w:val="single" w:sz="8" w:space="0" w:color="FFFFFF"/>
              <w:right w:val="single" w:sz="8" w:space="0" w:color="FFFFFF"/>
            </w:tcBorders>
            <w:shd w:val="clear" w:color="000000" w:fill="D0CECE"/>
            <w:vAlign w:val="center"/>
            <w:hideMark/>
          </w:tcPr>
          <w:p w14:paraId="76E73B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25.3%</w:t>
            </w:r>
          </w:p>
        </w:tc>
        <w:tc>
          <w:tcPr>
            <w:tcW w:w="877" w:type="dxa"/>
            <w:tcBorders>
              <w:top w:val="nil"/>
              <w:left w:val="nil"/>
              <w:bottom w:val="single" w:sz="8" w:space="0" w:color="FFFFFF"/>
              <w:right w:val="single" w:sz="8" w:space="0" w:color="FFFFFF"/>
            </w:tcBorders>
            <w:shd w:val="clear" w:color="000000" w:fill="D0CECE"/>
            <w:vAlign w:val="center"/>
            <w:hideMark/>
          </w:tcPr>
          <w:p w14:paraId="1FD0714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D0CECE"/>
            <w:vAlign w:val="center"/>
            <w:hideMark/>
          </w:tcPr>
          <w:p w14:paraId="1A95B2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27.3%</w:t>
            </w:r>
          </w:p>
        </w:tc>
      </w:tr>
      <w:tr w:rsidR="00CD65E7" w:rsidRPr="00CD65E7" w14:paraId="36FAF918"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8E46BD5"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Wales</w:t>
            </w:r>
          </w:p>
        </w:tc>
        <w:tc>
          <w:tcPr>
            <w:tcW w:w="877" w:type="dxa"/>
            <w:tcBorders>
              <w:top w:val="nil"/>
              <w:left w:val="nil"/>
              <w:bottom w:val="single" w:sz="8" w:space="0" w:color="FFFFFF"/>
              <w:right w:val="single" w:sz="8" w:space="0" w:color="FFFFFF"/>
            </w:tcBorders>
            <w:shd w:val="clear" w:color="000000" w:fill="E7EEEF"/>
            <w:vAlign w:val="center"/>
            <w:hideMark/>
          </w:tcPr>
          <w:p w14:paraId="1E09B74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77" w:type="dxa"/>
            <w:tcBorders>
              <w:top w:val="nil"/>
              <w:left w:val="nil"/>
              <w:bottom w:val="single" w:sz="8" w:space="0" w:color="FFFFFF"/>
              <w:right w:val="single" w:sz="8" w:space="0" w:color="FFFFFF"/>
            </w:tcBorders>
            <w:shd w:val="clear" w:color="000000" w:fill="E7EEEF"/>
            <w:vAlign w:val="center"/>
            <w:hideMark/>
          </w:tcPr>
          <w:p w14:paraId="75C7E92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1.7%</w:t>
            </w:r>
          </w:p>
        </w:tc>
        <w:tc>
          <w:tcPr>
            <w:tcW w:w="877" w:type="dxa"/>
            <w:tcBorders>
              <w:top w:val="nil"/>
              <w:left w:val="nil"/>
              <w:bottom w:val="single" w:sz="8" w:space="0" w:color="FFFFFF"/>
              <w:right w:val="single" w:sz="8" w:space="0" w:color="FFFFFF"/>
            </w:tcBorders>
            <w:shd w:val="clear" w:color="000000" w:fill="E7EEEF"/>
            <w:vAlign w:val="center"/>
            <w:hideMark/>
          </w:tcPr>
          <w:p w14:paraId="1148E51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c>
          <w:tcPr>
            <w:tcW w:w="877" w:type="dxa"/>
            <w:tcBorders>
              <w:top w:val="nil"/>
              <w:left w:val="nil"/>
              <w:bottom w:val="single" w:sz="8" w:space="0" w:color="FFFFFF"/>
              <w:right w:val="single" w:sz="8" w:space="0" w:color="FFFFFF"/>
            </w:tcBorders>
            <w:shd w:val="clear" w:color="000000" w:fill="E7EEEF"/>
            <w:vAlign w:val="center"/>
            <w:hideMark/>
          </w:tcPr>
          <w:p w14:paraId="3488C44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77" w:type="dxa"/>
            <w:tcBorders>
              <w:top w:val="nil"/>
              <w:left w:val="nil"/>
              <w:bottom w:val="single" w:sz="8" w:space="0" w:color="FFFFFF"/>
              <w:right w:val="single" w:sz="8" w:space="0" w:color="FFFFFF"/>
            </w:tcBorders>
            <w:shd w:val="clear" w:color="000000" w:fill="E7EEEF"/>
            <w:vAlign w:val="center"/>
            <w:hideMark/>
          </w:tcPr>
          <w:p w14:paraId="7DDE780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5AAEE8F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032C893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77" w:type="dxa"/>
            <w:tcBorders>
              <w:top w:val="nil"/>
              <w:left w:val="nil"/>
              <w:bottom w:val="single" w:sz="8" w:space="0" w:color="FFFFFF"/>
              <w:right w:val="single" w:sz="8" w:space="0" w:color="FFFFFF"/>
            </w:tcBorders>
            <w:shd w:val="clear" w:color="000000" w:fill="E7EEEF"/>
            <w:vAlign w:val="center"/>
            <w:hideMark/>
          </w:tcPr>
          <w:p w14:paraId="5E9937B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r>
      <w:tr w:rsidR="00CD65E7" w:rsidRPr="00CD65E7" w14:paraId="329CF780"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532CC22"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Northern Ireland</w:t>
            </w:r>
          </w:p>
        </w:tc>
        <w:tc>
          <w:tcPr>
            <w:tcW w:w="877" w:type="dxa"/>
            <w:tcBorders>
              <w:top w:val="nil"/>
              <w:left w:val="nil"/>
              <w:bottom w:val="single" w:sz="8" w:space="0" w:color="FFFFFF"/>
              <w:right w:val="single" w:sz="8" w:space="0" w:color="FFFFFF"/>
            </w:tcBorders>
            <w:shd w:val="clear" w:color="000000" w:fill="D0CECE"/>
            <w:vAlign w:val="center"/>
            <w:hideMark/>
          </w:tcPr>
          <w:p w14:paraId="18CE19F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3.1%</w:t>
            </w:r>
          </w:p>
        </w:tc>
        <w:tc>
          <w:tcPr>
            <w:tcW w:w="877" w:type="dxa"/>
            <w:tcBorders>
              <w:top w:val="nil"/>
              <w:left w:val="nil"/>
              <w:bottom w:val="single" w:sz="8" w:space="0" w:color="FFFFFF"/>
              <w:right w:val="single" w:sz="8" w:space="0" w:color="FFFFFF"/>
            </w:tcBorders>
            <w:shd w:val="clear" w:color="000000" w:fill="D0CECE"/>
            <w:vAlign w:val="center"/>
            <w:hideMark/>
          </w:tcPr>
          <w:p w14:paraId="35C68B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w:t>
            </w:r>
          </w:p>
        </w:tc>
        <w:tc>
          <w:tcPr>
            <w:tcW w:w="877" w:type="dxa"/>
            <w:tcBorders>
              <w:top w:val="nil"/>
              <w:left w:val="nil"/>
              <w:bottom w:val="single" w:sz="8" w:space="0" w:color="FFFFFF"/>
              <w:right w:val="single" w:sz="8" w:space="0" w:color="FFFFFF"/>
            </w:tcBorders>
            <w:shd w:val="clear" w:color="000000" w:fill="D0CECE"/>
            <w:vAlign w:val="center"/>
            <w:hideMark/>
          </w:tcPr>
          <w:p w14:paraId="1CD5CF2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3.3%</w:t>
            </w:r>
          </w:p>
        </w:tc>
        <w:tc>
          <w:tcPr>
            <w:tcW w:w="877" w:type="dxa"/>
            <w:tcBorders>
              <w:top w:val="nil"/>
              <w:left w:val="nil"/>
              <w:bottom w:val="single" w:sz="8" w:space="0" w:color="FFFFFF"/>
              <w:right w:val="single" w:sz="8" w:space="0" w:color="FFFFFF"/>
            </w:tcBorders>
            <w:shd w:val="clear" w:color="000000" w:fill="D0CECE"/>
            <w:vAlign w:val="center"/>
            <w:hideMark/>
          </w:tcPr>
          <w:p w14:paraId="5179FA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c>
          <w:tcPr>
            <w:tcW w:w="877" w:type="dxa"/>
            <w:tcBorders>
              <w:top w:val="nil"/>
              <w:left w:val="nil"/>
              <w:bottom w:val="single" w:sz="8" w:space="0" w:color="FFFFFF"/>
              <w:right w:val="single" w:sz="8" w:space="0" w:color="FFFFFF"/>
            </w:tcBorders>
            <w:shd w:val="clear" w:color="000000" w:fill="D0CECE"/>
            <w:vAlign w:val="center"/>
            <w:hideMark/>
          </w:tcPr>
          <w:p w14:paraId="4F87B0A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w:t>
            </w:r>
          </w:p>
        </w:tc>
        <w:tc>
          <w:tcPr>
            <w:tcW w:w="877" w:type="dxa"/>
            <w:tcBorders>
              <w:top w:val="nil"/>
              <w:left w:val="nil"/>
              <w:bottom w:val="single" w:sz="8" w:space="0" w:color="FFFFFF"/>
              <w:right w:val="single" w:sz="8" w:space="0" w:color="FFFFFF"/>
            </w:tcBorders>
            <w:shd w:val="clear" w:color="000000" w:fill="D0CECE"/>
            <w:vAlign w:val="center"/>
            <w:hideMark/>
          </w:tcPr>
          <w:p w14:paraId="23901CA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w:t>
            </w:r>
          </w:p>
        </w:tc>
        <w:tc>
          <w:tcPr>
            <w:tcW w:w="877" w:type="dxa"/>
            <w:tcBorders>
              <w:top w:val="nil"/>
              <w:left w:val="nil"/>
              <w:bottom w:val="single" w:sz="8" w:space="0" w:color="FFFFFF"/>
              <w:right w:val="single" w:sz="8" w:space="0" w:color="FFFFFF"/>
            </w:tcBorders>
            <w:shd w:val="clear" w:color="000000" w:fill="D0CECE"/>
            <w:vAlign w:val="center"/>
            <w:hideMark/>
          </w:tcPr>
          <w:p w14:paraId="6AA9134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w:t>
            </w:r>
          </w:p>
        </w:tc>
        <w:tc>
          <w:tcPr>
            <w:tcW w:w="877" w:type="dxa"/>
            <w:tcBorders>
              <w:top w:val="nil"/>
              <w:left w:val="nil"/>
              <w:bottom w:val="single" w:sz="8" w:space="0" w:color="FFFFFF"/>
              <w:right w:val="single" w:sz="8" w:space="0" w:color="FFFFFF"/>
            </w:tcBorders>
            <w:shd w:val="clear" w:color="000000" w:fill="D0CECE"/>
            <w:vAlign w:val="center"/>
            <w:hideMark/>
          </w:tcPr>
          <w:p w14:paraId="735583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r>
      <w:tr w:rsidR="00CD65E7" w:rsidRPr="00CD65E7" w14:paraId="6A7F00EB"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4ACFC13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of England</w:t>
            </w:r>
          </w:p>
        </w:tc>
        <w:tc>
          <w:tcPr>
            <w:tcW w:w="877" w:type="dxa"/>
            <w:tcBorders>
              <w:top w:val="nil"/>
              <w:left w:val="nil"/>
              <w:bottom w:val="single" w:sz="8" w:space="0" w:color="FFFFFF"/>
              <w:right w:val="single" w:sz="8" w:space="0" w:color="FFFFFF"/>
            </w:tcBorders>
            <w:shd w:val="clear" w:color="000000" w:fill="E7EEEF"/>
            <w:vAlign w:val="center"/>
            <w:hideMark/>
          </w:tcPr>
          <w:p w14:paraId="1F3535E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3.1%</w:t>
            </w:r>
          </w:p>
        </w:tc>
        <w:tc>
          <w:tcPr>
            <w:tcW w:w="877" w:type="dxa"/>
            <w:tcBorders>
              <w:top w:val="nil"/>
              <w:left w:val="nil"/>
              <w:bottom w:val="single" w:sz="8" w:space="0" w:color="FFFFFF"/>
              <w:right w:val="single" w:sz="8" w:space="0" w:color="FFFFFF"/>
            </w:tcBorders>
            <w:shd w:val="clear" w:color="000000" w:fill="E7EEEF"/>
            <w:vAlign w:val="center"/>
            <w:hideMark/>
          </w:tcPr>
          <w:p w14:paraId="576192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55343E9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77" w:type="dxa"/>
            <w:tcBorders>
              <w:top w:val="nil"/>
              <w:left w:val="nil"/>
              <w:bottom w:val="single" w:sz="8" w:space="0" w:color="FFFFFF"/>
              <w:right w:val="single" w:sz="8" w:space="0" w:color="FFFFFF"/>
            </w:tcBorders>
            <w:shd w:val="clear" w:color="000000" w:fill="E7EEEF"/>
            <w:vAlign w:val="center"/>
            <w:hideMark/>
          </w:tcPr>
          <w:p w14:paraId="50533B6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2.1%</w:t>
            </w:r>
          </w:p>
        </w:tc>
        <w:tc>
          <w:tcPr>
            <w:tcW w:w="877" w:type="dxa"/>
            <w:tcBorders>
              <w:top w:val="nil"/>
              <w:left w:val="nil"/>
              <w:bottom w:val="single" w:sz="8" w:space="0" w:color="FFFFFF"/>
              <w:right w:val="single" w:sz="8" w:space="0" w:color="FFFFFF"/>
            </w:tcBorders>
            <w:shd w:val="clear" w:color="000000" w:fill="E7EEEF"/>
            <w:vAlign w:val="center"/>
            <w:hideMark/>
          </w:tcPr>
          <w:p w14:paraId="241A5F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w:t>
            </w:r>
          </w:p>
        </w:tc>
        <w:tc>
          <w:tcPr>
            <w:tcW w:w="877" w:type="dxa"/>
            <w:tcBorders>
              <w:top w:val="nil"/>
              <w:left w:val="nil"/>
              <w:bottom w:val="single" w:sz="8" w:space="0" w:color="FFFFFF"/>
              <w:right w:val="single" w:sz="8" w:space="0" w:color="FFFFFF"/>
            </w:tcBorders>
            <w:shd w:val="clear" w:color="000000" w:fill="E7EEEF"/>
            <w:vAlign w:val="center"/>
            <w:hideMark/>
          </w:tcPr>
          <w:p w14:paraId="22C1C76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1.9%</w:t>
            </w:r>
          </w:p>
        </w:tc>
        <w:tc>
          <w:tcPr>
            <w:tcW w:w="877" w:type="dxa"/>
            <w:tcBorders>
              <w:top w:val="nil"/>
              <w:left w:val="nil"/>
              <w:bottom w:val="single" w:sz="8" w:space="0" w:color="FFFFFF"/>
              <w:right w:val="single" w:sz="8" w:space="0" w:color="FFFFFF"/>
            </w:tcBorders>
            <w:shd w:val="clear" w:color="000000" w:fill="E7EEEF"/>
            <w:vAlign w:val="center"/>
            <w:hideMark/>
          </w:tcPr>
          <w:p w14:paraId="7F0C22B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w:t>
            </w:r>
          </w:p>
        </w:tc>
        <w:tc>
          <w:tcPr>
            <w:tcW w:w="877" w:type="dxa"/>
            <w:tcBorders>
              <w:top w:val="nil"/>
              <w:left w:val="nil"/>
              <w:bottom w:val="single" w:sz="8" w:space="0" w:color="FFFFFF"/>
              <w:right w:val="single" w:sz="8" w:space="0" w:color="FFFFFF"/>
            </w:tcBorders>
            <w:shd w:val="clear" w:color="000000" w:fill="E7EEEF"/>
            <w:vAlign w:val="center"/>
            <w:hideMark/>
          </w:tcPr>
          <w:p w14:paraId="0F9BE3C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r>
      <w:tr w:rsidR="00CD65E7" w:rsidRPr="00CD65E7" w14:paraId="5C956233"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25532239"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Midlands</w:t>
            </w:r>
          </w:p>
        </w:tc>
        <w:tc>
          <w:tcPr>
            <w:tcW w:w="877" w:type="dxa"/>
            <w:tcBorders>
              <w:top w:val="nil"/>
              <w:left w:val="nil"/>
              <w:bottom w:val="single" w:sz="8" w:space="0" w:color="FFFFFF"/>
              <w:right w:val="single" w:sz="8" w:space="0" w:color="FFFFFF"/>
            </w:tcBorders>
            <w:shd w:val="clear" w:color="000000" w:fill="D0CECE"/>
            <w:vAlign w:val="center"/>
            <w:hideMark/>
          </w:tcPr>
          <w:p w14:paraId="015498F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D0CECE"/>
            <w:vAlign w:val="center"/>
            <w:hideMark/>
          </w:tcPr>
          <w:p w14:paraId="257BD37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1A6BDFB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0.9%</w:t>
            </w:r>
          </w:p>
        </w:tc>
        <w:tc>
          <w:tcPr>
            <w:tcW w:w="877" w:type="dxa"/>
            <w:tcBorders>
              <w:top w:val="nil"/>
              <w:left w:val="nil"/>
              <w:bottom w:val="single" w:sz="8" w:space="0" w:color="FFFFFF"/>
              <w:right w:val="single" w:sz="8" w:space="0" w:color="FFFFFF"/>
            </w:tcBorders>
            <w:shd w:val="clear" w:color="000000" w:fill="D0CECE"/>
            <w:vAlign w:val="center"/>
            <w:hideMark/>
          </w:tcPr>
          <w:p w14:paraId="37711A0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09011BE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0.9%</w:t>
            </w:r>
          </w:p>
        </w:tc>
        <w:tc>
          <w:tcPr>
            <w:tcW w:w="877" w:type="dxa"/>
            <w:tcBorders>
              <w:top w:val="nil"/>
              <w:left w:val="nil"/>
              <w:bottom w:val="single" w:sz="8" w:space="0" w:color="FFFFFF"/>
              <w:right w:val="single" w:sz="8" w:space="0" w:color="FFFFFF"/>
            </w:tcBorders>
            <w:shd w:val="clear" w:color="000000" w:fill="D0CECE"/>
            <w:vAlign w:val="center"/>
            <w:hideMark/>
          </w:tcPr>
          <w:p w14:paraId="0A9877D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163A1D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77" w:type="dxa"/>
            <w:tcBorders>
              <w:top w:val="nil"/>
              <w:left w:val="nil"/>
              <w:bottom w:val="single" w:sz="8" w:space="0" w:color="FFFFFF"/>
              <w:right w:val="single" w:sz="8" w:space="0" w:color="FFFFFF"/>
            </w:tcBorders>
            <w:shd w:val="clear" w:color="000000" w:fill="D0CECE"/>
            <w:vAlign w:val="center"/>
            <w:hideMark/>
          </w:tcPr>
          <w:p w14:paraId="4E8843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0.6%</w:t>
            </w:r>
          </w:p>
        </w:tc>
      </w:tr>
      <w:tr w:rsidR="00CD65E7" w:rsidRPr="00CD65E7" w14:paraId="597232F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9E52BC5"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London</w:t>
            </w:r>
          </w:p>
        </w:tc>
        <w:tc>
          <w:tcPr>
            <w:tcW w:w="877" w:type="dxa"/>
            <w:tcBorders>
              <w:top w:val="nil"/>
              <w:left w:val="nil"/>
              <w:bottom w:val="single" w:sz="8" w:space="0" w:color="FFFFFF"/>
              <w:right w:val="single" w:sz="8" w:space="0" w:color="FFFFFF"/>
            </w:tcBorders>
            <w:shd w:val="clear" w:color="000000" w:fill="E7EEEF"/>
            <w:vAlign w:val="center"/>
            <w:hideMark/>
          </w:tcPr>
          <w:p w14:paraId="17CD1E5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77" w:type="dxa"/>
            <w:tcBorders>
              <w:top w:val="nil"/>
              <w:left w:val="nil"/>
              <w:bottom w:val="single" w:sz="8" w:space="0" w:color="FFFFFF"/>
              <w:right w:val="single" w:sz="8" w:space="0" w:color="FFFFFF"/>
            </w:tcBorders>
            <w:shd w:val="clear" w:color="000000" w:fill="E7EEEF"/>
            <w:vAlign w:val="center"/>
            <w:hideMark/>
          </w:tcPr>
          <w:p w14:paraId="3311365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77" w:type="dxa"/>
            <w:tcBorders>
              <w:top w:val="nil"/>
              <w:left w:val="nil"/>
              <w:bottom w:val="single" w:sz="8" w:space="0" w:color="FFFFFF"/>
              <w:right w:val="single" w:sz="8" w:space="0" w:color="FFFFFF"/>
            </w:tcBorders>
            <w:shd w:val="clear" w:color="000000" w:fill="E7EEEF"/>
            <w:vAlign w:val="center"/>
            <w:hideMark/>
          </w:tcPr>
          <w:p w14:paraId="365F49F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E7EEEF"/>
            <w:vAlign w:val="center"/>
            <w:hideMark/>
          </w:tcPr>
          <w:p w14:paraId="00A4EA0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77" w:type="dxa"/>
            <w:tcBorders>
              <w:top w:val="nil"/>
              <w:left w:val="nil"/>
              <w:bottom w:val="single" w:sz="8" w:space="0" w:color="FFFFFF"/>
              <w:right w:val="single" w:sz="8" w:space="0" w:color="FFFFFF"/>
            </w:tcBorders>
            <w:shd w:val="clear" w:color="000000" w:fill="E7EEEF"/>
            <w:vAlign w:val="center"/>
            <w:hideMark/>
          </w:tcPr>
          <w:p w14:paraId="51B23CC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77" w:type="dxa"/>
            <w:tcBorders>
              <w:top w:val="nil"/>
              <w:left w:val="nil"/>
              <w:bottom w:val="single" w:sz="8" w:space="0" w:color="FFFFFF"/>
              <w:right w:val="single" w:sz="8" w:space="0" w:color="FFFFFF"/>
            </w:tcBorders>
            <w:shd w:val="clear" w:color="000000" w:fill="E7EEEF"/>
            <w:vAlign w:val="center"/>
            <w:hideMark/>
          </w:tcPr>
          <w:p w14:paraId="3DD3316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6A1C2DA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E7EEEF"/>
            <w:vAlign w:val="center"/>
            <w:hideMark/>
          </w:tcPr>
          <w:p w14:paraId="5610B1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69150AFC"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0D1A7F02"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East</w:t>
            </w:r>
          </w:p>
        </w:tc>
        <w:tc>
          <w:tcPr>
            <w:tcW w:w="877" w:type="dxa"/>
            <w:tcBorders>
              <w:top w:val="nil"/>
              <w:left w:val="nil"/>
              <w:bottom w:val="single" w:sz="8" w:space="0" w:color="FFFFFF"/>
              <w:right w:val="single" w:sz="8" w:space="0" w:color="FFFFFF"/>
            </w:tcBorders>
            <w:shd w:val="clear" w:color="000000" w:fill="D0CECE"/>
            <w:vAlign w:val="center"/>
            <w:hideMark/>
          </w:tcPr>
          <w:p w14:paraId="4C872F9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4.4%</w:t>
            </w:r>
          </w:p>
        </w:tc>
        <w:tc>
          <w:tcPr>
            <w:tcW w:w="877" w:type="dxa"/>
            <w:tcBorders>
              <w:top w:val="nil"/>
              <w:left w:val="nil"/>
              <w:bottom w:val="single" w:sz="8" w:space="0" w:color="FFFFFF"/>
              <w:right w:val="single" w:sz="8" w:space="0" w:color="FFFFFF"/>
            </w:tcBorders>
            <w:shd w:val="clear" w:color="000000" w:fill="D0CECE"/>
            <w:vAlign w:val="center"/>
            <w:hideMark/>
          </w:tcPr>
          <w:p w14:paraId="79389E3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w:t>
            </w:r>
          </w:p>
        </w:tc>
        <w:tc>
          <w:tcPr>
            <w:tcW w:w="877" w:type="dxa"/>
            <w:tcBorders>
              <w:top w:val="nil"/>
              <w:left w:val="nil"/>
              <w:bottom w:val="single" w:sz="8" w:space="0" w:color="FFFFFF"/>
              <w:right w:val="single" w:sz="8" w:space="0" w:color="FFFFFF"/>
            </w:tcBorders>
            <w:shd w:val="clear" w:color="000000" w:fill="D0CECE"/>
            <w:vAlign w:val="center"/>
            <w:hideMark/>
          </w:tcPr>
          <w:p w14:paraId="0C1AD4A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2.3%</w:t>
            </w:r>
          </w:p>
        </w:tc>
        <w:tc>
          <w:tcPr>
            <w:tcW w:w="877" w:type="dxa"/>
            <w:tcBorders>
              <w:top w:val="nil"/>
              <w:left w:val="nil"/>
              <w:bottom w:val="single" w:sz="8" w:space="0" w:color="FFFFFF"/>
              <w:right w:val="single" w:sz="8" w:space="0" w:color="FFFFFF"/>
            </w:tcBorders>
            <w:shd w:val="clear" w:color="000000" w:fill="D0CECE"/>
            <w:vAlign w:val="center"/>
            <w:hideMark/>
          </w:tcPr>
          <w:p w14:paraId="7C5D3D3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77" w:type="dxa"/>
            <w:tcBorders>
              <w:top w:val="nil"/>
              <w:left w:val="nil"/>
              <w:bottom w:val="single" w:sz="8" w:space="0" w:color="FFFFFF"/>
              <w:right w:val="single" w:sz="8" w:space="0" w:color="FFFFFF"/>
            </w:tcBorders>
            <w:shd w:val="clear" w:color="000000" w:fill="D0CECE"/>
            <w:vAlign w:val="center"/>
            <w:hideMark/>
          </w:tcPr>
          <w:p w14:paraId="200287C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77" w:type="dxa"/>
            <w:tcBorders>
              <w:top w:val="nil"/>
              <w:left w:val="nil"/>
              <w:bottom w:val="single" w:sz="8" w:space="0" w:color="FFFFFF"/>
              <w:right w:val="single" w:sz="8" w:space="0" w:color="FFFFFF"/>
            </w:tcBorders>
            <w:shd w:val="clear" w:color="000000" w:fill="D0CECE"/>
            <w:vAlign w:val="center"/>
            <w:hideMark/>
          </w:tcPr>
          <w:p w14:paraId="1C1FAFA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D0CECE"/>
            <w:vAlign w:val="center"/>
            <w:hideMark/>
          </w:tcPr>
          <w:p w14:paraId="06A1F1F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77" w:type="dxa"/>
            <w:tcBorders>
              <w:top w:val="nil"/>
              <w:left w:val="nil"/>
              <w:bottom w:val="single" w:sz="8" w:space="0" w:color="FFFFFF"/>
              <w:right w:val="single" w:sz="8" w:space="0" w:color="FFFFFF"/>
            </w:tcBorders>
            <w:shd w:val="clear" w:color="000000" w:fill="D0CECE"/>
            <w:vAlign w:val="center"/>
            <w:hideMark/>
          </w:tcPr>
          <w:p w14:paraId="0DCC138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0.6%</w:t>
            </w:r>
          </w:p>
        </w:tc>
      </w:tr>
      <w:tr w:rsidR="00CD65E7" w:rsidRPr="00CD65E7" w14:paraId="231455CA"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67535E8E"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West</w:t>
            </w:r>
          </w:p>
        </w:tc>
        <w:tc>
          <w:tcPr>
            <w:tcW w:w="877" w:type="dxa"/>
            <w:tcBorders>
              <w:top w:val="nil"/>
              <w:left w:val="nil"/>
              <w:bottom w:val="single" w:sz="8" w:space="0" w:color="FFFFFF"/>
              <w:right w:val="single" w:sz="8" w:space="0" w:color="FFFFFF"/>
            </w:tcBorders>
            <w:shd w:val="clear" w:color="000000" w:fill="E7EEEF"/>
            <w:vAlign w:val="center"/>
            <w:hideMark/>
          </w:tcPr>
          <w:p w14:paraId="045F54D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E7EEEF"/>
            <w:vAlign w:val="center"/>
            <w:hideMark/>
          </w:tcPr>
          <w:p w14:paraId="58467B1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E7EEEF"/>
            <w:vAlign w:val="center"/>
            <w:hideMark/>
          </w:tcPr>
          <w:p w14:paraId="22EE24E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28.0%</w:t>
            </w:r>
          </w:p>
        </w:tc>
        <w:tc>
          <w:tcPr>
            <w:tcW w:w="877" w:type="dxa"/>
            <w:tcBorders>
              <w:top w:val="nil"/>
              <w:left w:val="nil"/>
              <w:bottom w:val="single" w:sz="8" w:space="0" w:color="FFFFFF"/>
              <w:right w:val="single" w:sz="8" w:space="0" w:color="FFFFFF"/>
            </w:tcBorders>
            <w:shd w:val="clear" w:color="000000" w:fill="E7EEEF"/>
            <w:vAlign w:val="center"/>
            <w:hideMark/>
          </w:tcPr>
          <w:p w14:paraId="2509DD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E7EEEF"/>
            <w:vAlign w:val="center"/>
            <w:hideMark/>
          </w:tcPr>
          <w:p w14:paraId="067110B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30.6%</w:t>
            </w:r>
          </w:p>
        </w:tc>
        <w:tc>
          <w:tcPr>
            <w:tcW w:w="877" w:type="dxa"/>
            <w:tcBorders>
              <w:top w:val="nil"/>
              <w:left w:val="nil"/>
              <w:bottom w:val="single" w:sz="8" w:space="0" w:color="FFFFFF"/>
              <w:right w:val="single" w:sz="8" w:space="0" w:color="FFFFFF"/>
            </w:tcBorders>
            <w:shd w:val="clear" w:color="000000" w:fill="E7EEEF"/>
            <w:vAlign w:val="center"/>
            <w:hideMark/>
          </w:tcPr>
          <w:p w14:paraId="3A9BE92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37.9%</w:t>
            </w:r>
          </w:p>
        </w:tc>
        <w:tc>
          <w:tcPr>
            <w:tcW w:w="877" w:type="dxa"/>
            <w:tcBorders>
              <w:top w:val="nil"/>
              <w:left w:val="nil"/>
              <w:bottom w:val="single" w:sz="8" w:space="0" w:color="FFFFFF"/>
              <w:right w:val="single" w:sz="8" w:space="0" w:color="FFFFFF"/>
            </w:tcBorders>
            <w:shd w:val="clear" w:color="000000" w:fill="E7EEEF"/>
            <w:vAlign w:val="center"/>
            <w:hideMark/>
          </w:tcPr>
          <w:p w14:paraId="0A4CED8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35.3%</w:t>
            </w:r>
          </w:p>
        </w:tc>
        <w:tc>
          <w:tcPr>
            <w:tcW w:w="877" w:type="dxa"/>
            <w:tcBorders>
              <w:top w:val="nil"/>
              <w:left w:val="nil"/>
              <w:bottom w:val="single" w:sz="8" w:space="0" w:color="FFFFFF"/>
              <w:right w:val="single" w:sz="8" w:space="0" w:color="FFFFFF"/>
            </w:tcBorders>
            <w:shd w:val="clear" w:color="000000" w:fill="E7EEEF"/>
            <w:vAlign w:val="center"/>
            <w:hideMark/>
          </w:tcPr>
          <w:p w14:paraId="4441959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36.4%</w:t>
            </w:r>
          </w:p>
        </w:tc>
      </w:tr>
      <w:tr w:rsidR="00CD65E7" w:rsidRPr="00CD65E7" w14:paraId="2395A149"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2BE5FF"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East</w:t>
            </w:r>
          </w:p>
        </w:tc>
        <w:tc>
          <w:tcPr>
            <w:tcW w:w="877" w:type="dxa"/>
            <w:tcBorders>
              <w:top w:val="nil"/>
              <w:left w:val="nil"/>
              <w:bottom w:val="single" w:sz="8" w:space="0" w:color="FFFFFF"/>
              <w:right w:val="single" w:sz="8" w:space="0" w:color="FFFFFF"/>
            </w:tcBorders>
            <w:shd w:val="clear" w:color="000000" w:fill="D0CECE"/>
            <w:vAlign w:val="center"/>
            <w:hideMark/>
          </w:tcPr>
          <w:p w14:paraId="552349A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11.0%</w:t>
            </w:r>
          </w:p>
        </w:tc>
        <w:tc>
          <w:tcPr>
            <w:tcW w:w="877" w:type="dxa"/>
            <w:tcBorders>
              <w:top w:val="nil"/>
              <w:left w:val="nil"/>
              <w:bottom w:val="single" w:sz="8" w:space="0" w:color="FFFFFF"/>
              <w:right w:val="single" w:sz="8" w:space="0" w:color="FFFFFF"/>
            </w:tcBorders>
            <w:shd w:val="clear" w:color="000000" w:fill="D0CECE"/>
            <w:vAlign w:val="center"/>
            <w:hideMark/>
          </w:tcPr>
          <w:p w14:paraId="45CD08E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8.7%</w:t>
            </w:r>
          </w:p>
        </w:tc>
        <w:tc>
          <w:tcPr>
            <w:tcW w:w="877" w:type="dxa"/>
            <w:tcBorders>
              <w:top w:val="nil"/>
              <w:left w:val="nil"/>
              <w:bottom w:val="single" w:sz="8" w:space="0" w:color="FFFFFF"/>
              <w:right w:val="single" w:sz="8" w:space="0" w:color="FFFFFF"/>
            </w:tcBorders>
            <w:shd w:val="clear" w:color="000000" w:fill="D0CECE"/>
            <w:vAlign w:val="center"/>
            <w:hideMark/>
          </w:tcPr>
          <w:p w14:paraId="65DB1DB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10.5%</w:t>
            </w:r>
          </w:p>
        </w:tc>
        <w:tc>
          <w:tcPr>
            <w:tcW w:w="877" w:type="dxa"/>
            <w:tcBorders>
              <w:top w:val="nil"/>
              <w:left w:val="nil"/>
              <w:bottom w:val="single" w:sz="8" w:space="0" w:color="FFFFFF"/>
              <w:right w:val="single" w:sz="8" w:space="0" w:color="FFFFFF"/>
            </w:tcBorders>
            <w:shd w:val="clear" w:color="000000" w:fill="D0CECE"/>
            <w:vAlign w:val="center"/>
            <w:hideMark/>
          </w:tcPr>
          <w:p w14:paraId="2210F91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8.0%</w:t>
            </w:r>
          </w:p>
        </w:tc>
        <w:tc>
          <w:tcPr>
            <w:tcW w:w="877" w:type="dxa"/>
            <w:tcBorders>
              <w:top w:val="nil"/>
              <w:left w:val="nil"/>
              <w:bottom w:val="single" w:sz="8" w:space="0" w:color="FFFFFF"/>
              <w:right w:val="single" w:sz="8" w:space="0" w:color="FFFFFF"/>
            </w:tcBorders>
            <w:shd w:val="clear" w:color="000000" w:fill="D0CECE"/>
            <w:vAlign w:val="center"/>
            <w:hideMark/>
          </w:tcPr>
          <w:p w14:paraId="00308C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3.9%</w:t>
            </w:r>
          </w:p>
        </w:tc>
        <w:tc>
          <w:tcPr>
            <w:tcW w:w="877" w:type="dxa"/>
            <w:tcBorders>
              <w:top w:val="nil"/>
              <w:left w:val="nil"/>
              <w:bottom w:val="single" w:sz="8" w:space="0" w:color="FFFFFF"/>
              <w:right w:val="single" w:sz="8" w:space="0" w:color="FFFFFF"/>
            </w:tcBorders>
            <w:shd w:val="clear" w:color="000000" w:fill="D0CECE"/>
            <w:vAlign w:val="center"/>
            <w:hideMark/>
          </w:tcPr>
          <w:p w14:paraId="618BA7C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2.9%</w:t>
            </w:r>
          </w:p>
        </w:tc>
        <w:tc>
          <w:tcPr>
            <w:tcW w:w="877" w:type="dxa"/>
            <w:tcBorders>
              <w:top w:val="nil"/>
              <w:left w:val="nil"/>
              <w:bottom w:val="single" w:sz="8" w:space="0" w:color="FFFFFF"/>
              <w:right w:val="single" w:sz="8" w:space="0" w:color="FFFFFF"/>
            </w:tcBorders>
            <w:shd w:val="clear" w:color="000000" w:fill="D0CECE"/>
            <w:vAlign w:val="center"/>
            <w:hideMark/>
          </w:tcPr>
          <w:p w14:paraId="45AF5DF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2.0%</w:t>
            </w:r>
          </w:p>
        </w:tc>
        <w:tc>
          <w:tcPr>
            <w:tcW w:w="877" w:type="dxa"/>
            <w:tcBorders>
              <w:top w:val="nil"/>
              <w:left w:val="nil"/>
              <w:bottom w:val="single" w:sz="8" w:space="0" w:color="FFFFFF"/>
              <w:right w:val="single" w:sz="8" w:space="0" w:color="FFFFFF"/>
            </w:tcBorders>
            <w:shd w:val="clear" w:color="000000" w:fill="D0CECE"/>
            <w:vAlign w:val="center"/>
            <w:hideMark/>
          </w:tcPr>
          <w:p w14:paraId="73B5E1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w:t>
            </w:r>
          </w:p>
        </w:tc>
      </w:tr>
      <w:tr w:rsidR="00CD65E7" w:rsidRPr="00CD65E7" w14:paraId="1BF69BC5"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3E59381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West</w:t>
            </w:r>
          </w:p>
        </w:tc>
        <w:tc>
          <w:tcPr>
            <w:tcW w:w="877" w:type="dxa"/>
            <w:tcBorders>
              <w:top w:val="nil"/>
              <w:left w:val="nil"/>
              <w:bottom w:val="single" w:sz="8" w:space="0" w:color="FFFFFF"/>
              <w:right w:val="single" w:sz="8" w:space="0" w:color="FFFFFF"/>
            </w:tcBorders>
            <w:shd w:val="clear" w:color="000000" w:fill="E7EEEF"/>
            <w:vAlign w:val="center"/>
            <w:hideMark/>
          </w:tcPr>
          <w:p w14:paraId="7FC9007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22.0%</w:t>
            </w:r>
          </w:p>
        </w:tc>
        <w:tc>
          <w:tcPr>
            <w:tcW w:w="877" w:type="dxa"/>
            <w:tcBorders>
              <w:top w:val="nil"/>
              <w:left w:val="nil"/>
              <w:bottom w:val="single" w:sz="8" w:space="0" w:color="FFFFFF"/>
              <w:right w:val="single" w:sz="8" w:space="0" w:color="FFFFFF"/>
            </w:tcBorders>
            <w:shd w:val="clear" w:color="000000" w:fill="E7EEEF"/>
            <w:vAlign w:val="center"/>
            <w:hideMark/>
          </w:tcPr>
          <w:p w14:paraId="5D241E6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26.0%</w:t>
            </w:r>
          </w:p>
        </w:tc>
        <w:tc>
          <w:tcPr>
            <w:tcW w:w="877" w:type="dxa"/>
            <w:tcBorders>
              <w:top w:val="nil"/>
              <w:left w:val="nil"/>
              <w:bottom w:val="single" w:sz="8" w:space="0" w:color="FFFFFF"/>
              <w:right w:val="single" w:sz="8" w:space="0" w:color="FFFFFF"/>
            </w:tcBorders>
            <w:shd w:val="clear" w:color="000000" w:fill="E7EEEF"/>
            <w:vAlign w:val="center"/>
            <w:hideMark/>
          </w:tcPr>
          <w:p w14:paraId="4DAF971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23.3%</w:t>
            </w:r>
          </w:p>
        </w:tc>
        <w:tc>
          <w:tcPr>
            <w:tcW w:w="877" w:type="dxa"/>
            <w:tcBorders>
              <w:top w:val="nil"/>
              <w:left w:val="nil"/>
              <w:bottom w:val="single" w:sz="8" w:space="0" w:color="FFFFFF"/>
              <w:right w:val="single" w:sz="8" w:space="0" w:color="FFFFFF"/>
            </w:tcBorders>
            <w:shd w:val="clear" w:color="000000" w:fill="E7EEEF"/>
            <w:vAlign w:val="center"/>
            <w:hideMark/>
          </w:tcPr>
          <w:p w14:paraId="6444D56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27.5%</w:t>
            </w:r>
          </w:p>
        </w:tc>
        <w:tc>
          <w:tcPr>
            <w:tcW w:w="877" w:type="dxa"/>
            <w:tcBorders>
              <w:top w:val="nil"/>
              <w:left w:val="nil"/>
              <w:bottom w:val="single" w:sz="8" w:space="0" w:color="FFFFFF"/>
              <w:right w:val="single" w:sz="8" w:space="0" w:color="FFFFFF"/>
            </w:tcBorders>
            <w:shd w:val="clear" w:color="000000" w:fill="E7EEEF"/>
            <w:vAlign w:val="center"/>
            <w:hideMark/>
          </w:tcPr>
          <w:p w14:paraId="3FBBAE2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26.2%</w:t>
            </w:r>
          </w:p>
        </w:tc>
        <w:tc>
          <w:tcPr>
            <w:tcW w:w="877" w:type="dxa"/>
            <w:tcBorders>
              <w:top w:val="nil"/>
              <w:left w:val="nil"/>
              <w:bottom w:val="single" w:sz="8" w:space="0" w:color="FFFFFF"/>
              <w:right w:val="single" w:sz="8" w:space="0" w:color="FFFFFF"/>
            </w:tcBorders>
            <w:shd w:val="clear" w:color="000000" w:fill="E7EEEF"/>
            <w:vAlign w:val="center"/>
            <w:hideMark/>
          </w:tcPr>
          <w:p w14:paraId="1E14F0E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25.3%</w:t>
            </w:r>
          </w:p>
        </w:tc>
        <w:tc>
          <w:tcPr>
            <w:tcW w:w="877" w:type="dxa"/>
            <w:tcBorders>
              <w:top w:val="nil"/>
              <w:left w:val="nil"/>
              <w:bottom w:val="single" w:sz="8" w:space="0" w:color="FFFFFF"/>
              <w:right w:val="single" w:sz="8" w:space="0" w:color="FFFFFF"/>
            </w:tcBorders>
            <w:shd w:val="clear" w:color="000000" w:fill="E7EEEF"/>
            <w:vAlign w:val="center"/>
            <w:hideMark/>
          </w:tcPr>
          <w:p w14:paraId="246B770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26.5%</w:t>
            </w:r>
          </w:p>
        </w:tc>
        <w:tc>
          <w:tcPr>
            <w:tcW w:w="877" w:type="dxa"/>
            <w:tcBorders>
              <w:top w:val="nil"/>
              <w:left w:val="nil"/>
              <w:bottom w:val="single" w:sz="8" w:space="0" w:color="FFFFFF"/>
              <w:right w:val="single" w:sz="8" w:space="0" w:color="FFFFFF"/>
            </w:tcBorders>
            <w:shd w:val="clear" w:color="000000" w:fill="E7EEEF"/>
            <w:vAlign w:val="center"/>
            <w:hideMark/>
          </w:tcPr>
          <w:p w14:paraId="49C1696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27.3%</w:t>
            </w:r>
          </w:p>
        </w:tc>
      </w:tr>
      <w:tr w:rsidR="00CD65E7" w:rsidRPr="00CD65E7" w14:paraId="6F4C54E5"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C2A33D"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West Midlands</w:t>
            </w:r>
          </w:p>
        </w:tc>
        <w:tc>
          <w:tcPr>
            <w:tcW w:w="877" w:type="dxa"/>
            <w:tcBorders>
              <w:top w:val="nil"/>
              <w:left w:val="nil"/>
              <w:bottom w:val="single" w:sz="8" w:space="0" w:color="FFFFFF"/>
              <w:right w:val="single" w:sz="8" w:space="0" w:color="FFFFFF"/>
            </w:tcBorders>
            <w:shd w:val="clear" w:color="000000" w:fill="D0CECE"/>
            <w:vAlign w:val="center"/>
            <w:hideMark/>
          </w:tcPr>
          <w:p w14:paraId="6BFD50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77" w:type="dxa"/>
            <w:tcBorders>
              <w:top w:val="nil"/>
              <w:left w:val="nil"/>
              <w:bottom w:val="single" w:sz="8" w:space="0" w:color="FFFFFF"/>
              <w:right w:val="single" w:sz="8" w:space="0" w:color="FFFFFF"/>
            </w:tcBorders>
            <w:shd w:val="clear" w:color="000000" w:fill="D0CECE"/>
            <w:vAlign w:val="center"/>
            <w:hideMark/>
          </w:tcPr>
          <w:p w14:paraId="700EA2D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77" w:type="dxa"/>
            <w:tcBorders>
              <w:top w:val="nil"/>
              <w:left w:val="nil"/>
              <w:bottom w:val="single" w:sz="8" w:space="0" w:color="FFFFFF"/>
              <w:right w:val="single" w:sz="8" w:space="0" w:color="FFFFFF"/>
            </w:tcBorders>
            <w:shd w:val="clear" w:color="000000" w:fill="D0CECE"/>
            <w:vAlign w:val="center"/>
            <w:hideMark/>
          </w:tcPr>
          <w:p w14:paraId="7C8935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77" w:type="dxa"/>
            <w:tcBorders>
              <w:top w:val="nil"/>
              <w:left w:val="nil"/>
              <w:bottom w:val="single" w:sz="8" w:space="0" w:color="FFFFFF"/>
              <w:right w:val="single" w:sz="8" w:space="0" w:color="FFFFFF"/>
            </w:tcBorders>
            <w:shd w:val="clear" w:color="000000" w:fill="D0CECE"/>
            <w:vAlign w:val="center"/>
            <w:hideMark/>
          </w:tcPr>
          <w:p w14:paraId="36D32FB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ED9BA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61C8032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12DA87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77" w:type="dxa"/>
            <w:tcBorders>
              <w:top w:val="nil"/>
              <w:left w:val="nil"/>
              <w:bottom w:val="single" w:sz="8" w:space="0" w:color="FFFFFF"/>
              <w:right w:val="single" w:sz="8" w:space="0" w:color="FFFFFF"/>
            </w:tcBorders>
            <w:shd w:val="clear" w:color="000000" w:fill="D0CECE"/>
            <w:vAlign w:val="center"/>
            <w:hideMark/>
          </w:tcPr>
          <w:p w14:paraId="5FA59B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4F20DEAE" w14:textId="77777777" w:rsidTr="00AB58F0">
        <w:trPr>
          <w:trHeight w:val="194"/>
        </w:trPr>
        <w:tc>
          <w:tcPr>
            <w:tcW w:w="2453" w:type="dxa"/>
            <w:tcBorders>
              <w:top w:val="nil"/>
              <w:left w:val="nil"/>
              <w:bottom w:val="single" w:sz="12" w:space="0" w:color="FFFFFF"/>
              <w:right w:val="single" w:sz="8" w:space="0" w:color="FFFFFF"/>
            </w:tcBorders>
            <w:shd w:val="clear" w:color="000000" w:fill="008C9B"/>
            <w:vAlign w:val="center"/>
            <w:hideMark/>
          </w:tcPr>
          <w:p w14:paraId="5E61C0A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Yorkshire and the Humber</w:t>
            </w:r>
          </w:p>
        </w:tc>
        <w:tc>
          <w:tcPr>
            <w:tcW w:w="877" w:type="dxa"/>
            <w:tcBorders>
              <w:top w:val="nil"/>
              <w:left w:val="nil"/>
              <w:bottom w:val="single" w:sz="8" w:space="0" w:color="FFFFFF"/>
              <w:right w:val="single" w:sz="8" w:space="0" w:color="FFFFFF"/>
            </w:tcBorders>
            <w:shd w:val="clear" w:color="000000" w:fill="E7EEEF"/>
            <w:vAlign w:val="center"/>
            <w:hideMark/>
          </w:tcPr>
          <w:p w14:paraId="67281956"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0860D635"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2.6%</w:t>
            </w:r>
          </w:p>
        </w:tc>
        <w:tc>
          <w:tcPr>
            <w:tcW w:w="877" w:type="dxa"/>
            <w:tcBorders>
              <w:top w:val="nil"/>
              <w:left w:val="nil"/>
              <w:bottom w:val="single" w:sz="8" w:space="0" w:color="FFFFFF"/>
              <w:right w:val="single" w:sz="8" w:space="0" w:color="FFFFFF"/>
            </w:tcBorders>
            <w:shd w:val="clear" w:color="000000" w:fill="E7EEEF"/>
            <w:vAlign w:val="center"/>
            <w:hideMark/>
          </w:tcPr>
          <w:p w14:paraId="06065A31"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3CBEC05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7CE5F92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0.7%</w:t>
            </w:r>
          </w:p>
        </w:tc>
        <w:tc>
          <w:tcPr>
            <w:tcW w:w="877" w:type="dxa"/>
            <w:tcBorders>
              <w:top w:val="nil"/>
              <w:left w:val="nil"/>
              <w:bottom w:val="single" w:sz="8" w:space="0" w:color="FFFFFF"/>
              <w:right w:val="single" w:sz="8" w:space="0" w:color="FFFFFF"/>
            </w:tcBorders>
            <w:shd w:val="clear" w:color="000000" w:fill="E7EEEF"/>
            <w:vAlign w:val="center"/>
            <w:hideMark/>
          </w:tcPr>
          <w:p w14:paraId="1D948A24"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0.4%</w:t>
            </w:r>
          </w:p>
        </w:tc>
        <w:tc>
          <w:tcPr>
            <w:tcW w:w="877" w:type="dxa"/>
            <w:tcBorders>
              <w:top w:val="nil"/>
              <w:left w:val="nil"/>
              <w:bottom w:val="single" w:sz="8" w:space="0" w:color="FFFFFF"/>
              <w:right w:val="single" w:sz="8" w:space="0" w:color="FFFFFF"/>
            </w:tcBorders>
            <w:shd w:val="clear" w:color="000000" w:fill="E7EEEF"/>
            <w:vAlign w:val="center"/>
            <w:hideMark/>
          </w:tcPr>
          <w:p w14:paraId="66843E73"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0.2%</w:t>
            </w:r>
          </w:p>
        </w:tc>
        <w:tc>
          <w:tcPr>
            <w:tcW w:w="877" w:type="dxa"/>
            <w:tcBorders>
              <w:top w:val="nil"/>
              <w:left w:val="nil"/>
              <w:bottom w:val="single" w:sz="8" w:space="0" w:color="FFFFFF"/>
              <w:right w:val="single" w:sz="8" w:space="0" w:color="FFFFFF"/>
            </w:tcBorders>
            <w:shd w:val="clear" w:color="000000" w:fill="E7EEEF"/>
            <w:vAlign w:val="center"/>
            <w:hideMark/>
          </w:tcPr>
          <w:p w14:paraId="7A5CA488"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0.5%</w:t>
            </w:r>
          </w:p>
        </w:tc>
      </w:tr>
    </w:tbl>
    <w:p w14:paraId="5292890E" w14:textId="7D99E2F9" w:rsidR="006D583E" w:rsidRPr="00F332D8" w:rsidRDefault="00AC5E49" w:rsidP="00F332D8">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69C5ACBF" w14:textId="4D60F6E6" w:rsidR="008E0882" w:rsidRDefault="008E0882" w:rsidP="008E0882">
      <w:pPr>
        <w:pStyle w:val="Caption"/>
        <w:keepNext/>
      </w:pPr>
      <w:bookmarkStart w:id="33" w:name="_Ref490044761"/>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8</w:t>
      </w:r>
      <w:r w:rsidR="00A420C1">
        <w:rPr>
          <w:noProof/>
        </w:rPr>
        <w:fldChar w:fldCharType="end"/>
      </w:r>
      <w:bookmarkEnd w:id="33"/>
      <w:r>
        <w:t xml:space="preserve">: </w:t>
      </w:r>
      <w:r w:rsidRPr="000238E1">
        <w:t>The breakdown of UK employment in Marine Offshore Oil and Gas activities as implied by BRES and ABS, 2010 to 20</w:t>
      </w:r>
      <w:r w:rsidR="00F332D8">
        <w:t>17</w:t>
      </w:r>
    </w:p>
    <w:tbl>
      <w:tblPr>
        <w:tblW w:w="9552" w:type="dxa"/>
        <w:tblLook w:val="04A0" w:firstRow="1" w:lastRow="0" w:firstColumn="1" w:lastColumn="0" w:noHBand="0" w:noVBand="1"/>
      </w:tblPr>
      <w:tblGrid>
        <w:gridCol w:w="2472"/>
        <w:gridCol w:w="885"/>
        <w:gridCol w:w="885"/>
        <w:gridCol w:w="885"/>
        <w:gridCol w:w="885"/>
        <w:gridCol w:w="885"/>
        <w:gridCol w:w="885"/>
        <w:gridCol w:w="885"/>
        <w:gridCol w:w="885"/>
      </w:tblGrid>
      <w:tr w:rsidR="00CD65E7" w:rsidRPr="00CD65E7" w14:paraId="65ADA7EA" w14:textId="77777777" w:rsidTr="00CD65E7">
        <w:trPr>
          <w:trHeight w:val="316"/>
        </w:trPr>
        <w:tc>
          <w:tcPr>
            <w:tcW w:w="2472" w:type="dxa"/>
            <w:tcBorders>
              <w:top w:val="single" w:sz="8" w:space="0" w:color="FFFFFF"/>
              <w:left w:val="nil"/>
              <w:bottom w:val="single" w:sz="12" w:space="0" w:color="FFFFFF"/>
              <w:right w:val="single" w:sz="8" w:space="0" w:color="FFFFFF"/>
            </w:tcBorders>
            <w:shd w:val="clear" w:color="000000" w:fill="008C9B"/>
            <w:vAlign w:val="center"/>
            <w:hideMark/>
          </w:tcPr>
          <w:p w14:paraId="05BA1E32" w14:textId="77777777" w:rsidR="00CD65E7" w:rsidRPr="00CD65E7" w:rsidRDefault="00CD65E7" w:rsidP="00CD65E7">
            <w:pPr>
              <w:spacing w:after="0"/>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Oil &amp; Gas Employment</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5025195D"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2010</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A4ADD4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2011</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6517B41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2012</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5966067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2013</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A12F113"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2014</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03B74AAF"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2015</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29B8DAD1"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2016</w:t>
            </w:r>
          </w:p>
        </w:tc>
        <w:tc>
          <w:tcPr>
            <w:tcW w:w="885" w:type="dxa"/>
            <w:tcBorders>
              <w:top w:val="single" w:sz="8" w:space="0" w:color="FFFFFF"/>
              <w:left w:val="nil"/>
              <w:bottom w:val="single" w:sz="12" w:space="0" w:color="FFFFFF"/>
              <w:right w:val="single" w:sz="8" w:space="0" w:color="FFFFFF"/>
            </w:tcBorders>
            <w:shd w:val="clear" w:color="000000" w:fill="008C9B"/>
            <w:vAlign w:val="center"/>
            <w:hideMark/>
          </w:tcPr>
          <w:p w14:paraId="33AF4317" w14:textId="77777777" w:rsidR="00CD65E7" w:rsidRPr="00CD65E7" w:rsidRDefault="00CD65E7" w:rsidP="00CD65E7">
            <w:pPr>
              <w:spacing w:after="0"/>
              <w:jc w:val="center"/>
              <w:rPr>
                <w:rFonts w:ascii="Calibri" w:eastAsia="Times New Roman" w:hAnsi="Calibri"/>
                <w:b/>
                <w:bCs/>
                <w:color w:val="FFFFFF"/>
                <w:sz w:val="20"/>
                <w:lang w:eastAsia="en-GB"/>
              </w:rPr>
            </w:pPr>
            <w:r w:rsidRPr="00CD65E7">
              <w:rPr>
                <w:rFonts w:ascii="Calibri" w:eastAsia="Times New Roman" w:hAnsi="Calibri"/>
                <w:b/>
                <w:bCs/>
                <w:color w:val="FFFFFF"/>
                <w:sz w:val="20"/>
                <w:lang w:eastAsia="en-GB"/>
              </w:rPr>
              <w:t>2017</w:t>
            </w:r>
          </w:p>
        </w:tc>
      </w:tr>
      <w:tr w:rsidR="00CD65E7" w:rsidRPr="00CD65E7" w14:paraId="2C1697B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520F9EB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England</w:t>
            </w:r>
          </w:p>
        </w:tc>
        <w:tc>
          <w:tcPr>
            <w:tcW w:w="885" w:type="dxa"/>
            <w:tcBorders>
              <w:top w:val="nil"/>
              <w:left w:val="nil"/>
              <w:bottom w:val="single" w:sz="8" w:space="0" w:color="FFFFFF"/>
              <w:right w:val="single" w:sz="8" w:space="0" w:color="FFFFFF"/>
            </w:tcBorders>
            <w:shd w:val="clear" w:color="000000" w:fill="E7EEEF"/>
            <w:vAlign w:val="center"/>
            <w:hideMark/>
          </w:tcPr>
          <w:p w14:paraId="3C47A83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8.1%</w:t>
            </w:r>
          </w:p>
        </w:tc>
        <w:tc>
          <w:tcPr>
            <w:tcW w:w="885" w:type="dxa"/>
            <w:tcBorders>
              <w:top w:val="nil"/>
              <w:left w:val="nil"/>
              <w:bottom w:val="single" w:sz="8" w:space="0" w:color="FFFFFF"/>
              <w:right w:val="single" w:sz="8" w:space="0" w:color="FFFFFF"/>
            </w:tcBorders>
            <w:shd w:val="clear" w:color="000000" w:fill="E7EEEF"/>
            <w:vAlign w:val="center"/>
            <w:hideMark/>
          </w:tcPr>
          <w:p w14:paraId="240E38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12.0%</w:t>
            </w:r>
          </w:p>
        </w:tc>
        <w:tc>
          <w:tcPr>
            <w:tcW w:w="885" w:type="dxa"/>
            <w:tcBorders>
              <w:top w:val="nil"/>
              <w:left w:val="nil"/>
              <w:bottom w:val="single" w:sz="8" w:space="0" w:color="FFFFFF"/>
              <w:right w:val="single" w:sz="8" w:space="0" w:color="FFFFFF"/>
            </w:tcBorders>
            <w:shd w:val="clear" w:color="000000" w:fill="E7EEEF"/>
            <w:vAlign w:val="center"/>
            <w:hideMark/>
          </w:tcPr>
          <w:p w14:paraId="5094A8C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16.2%</w:t>
            </w:r>
          </w:p>
        </w:tc>
        <w:tc>
          <w:tcPr>
            <w:tcW w:w="885" w:type="dxa"/>
            <w:tcBorders>
              <w:top w:val="nil"/>
              <w:left w:val="nil"/>
              <w:bottom w:val="single" w:sz="8" w:space="0" w:color="FFFFFF"/>
              <w:right w:val="single" w:sz="8" w:space="0" w:color="FFFFFF"/>
            </w:tcBorders>
            <w:shd w:val="clear" w:color="000000" w:fill="E7EEEF"/>
            <w:vAlign w:val="center"/>
            <w:hideMark/>
          </w:tcPr>
          <w:p w14:paraId="721B396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13.7%</w:t>
            </w:r>
          </w:p>
        </w:tc>
        <w:tc>
          <w:tcPr>
            <w:tcW w:w="885" w:type="dxa"/>
            <w:tcBorders>
              <w:top w:val="nil"/>
              <w:left w:val="nil"/>
              <w:bottom w:val="single" w:sz="8" w:space="0" w:color="FFFFFF"/>
              <w:right w:val="single" w:sz="8" w:space="0" w:color="FFFFFF"/>
            </w:tcBorders>
            <w:shd w:val="clear" w:color="000000" w:fill="E7EEEF"/>
            <w:vAlign w:val="center"/>
            <w:hideMark/>
          </w:tcPr>
          <w:p w14:paraId="1975E1D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11.1%</w:t>
            </w:r>
          </w:p>
        </w:tc>
        <w:tc>
          <w:tcPr>
            <w:tcW w:w="885" w:type="dxa"/>
            <w:tcBorders>
              <w:top w:val="nil"/>
              <w:left w:val="nil"/>
              <w:bottom w:val="single" w:sz="8" w:space="0" w:color="FFFFFF"/>
              <w:right w:val="single" w:sz="8" w:space="0" w:color="FFFFFF"/>
            </w:tcBorders>
            <w:shd w:val="clear" w:color="000000" w:fill="E7EEEF"/>
            <w:vAlign w:val="center"/>
            <w:hideMark/>
          </w:tcPr>
          <w:p w14:paraId="5A668CA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7.4%</w:t>
            </w:r>
          </w:p>
        </w:tc>
        <w:tc>
          <w:tcPr>
            <w:tcW w:w="885" w:type="dxa"/>
            <w:tcBorders>
              <w:top w:val="nil"/>
              <w:left w:val="nil"/>
              <w:bottom w:val="single" w:sz="8" w:space="0" w:color="FFFFFF"/>
              <w:right w:val="single" w:sz="8" w:space="0" w:color="FFFFFF"/>
            </w:tcBorders>
            <w:shd w:val="clear" w:color="000000" w:fill="E7EEEF"/>
            <w:vAlign w:val="center"/>
            <w:hideMark/>
          </w:tcPr>
          <w:p w14:paraId="2B2F242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10.0%</w:t>
            </w:r>
          </w:p>
        </w:tc>
        <w:tc>
          <w:tcPr>
            <w:tcW w:w="885" w:type="dxa"/>
            <w:tcBorders>
              <w:top w:val="nil"/>
              <w:left w:val="nil"/>
              <w:bottom w:val="single" w:sz="8" w:space="0" w:color="FFFFFF"/>
              <w:right w:val="single" w:sz="8" w:space="0" w:color="FFFFFF"/>
            </w:tcBorders>
            <w:shd w:val="clear" w:color="000000" w:fill="E7EEEF"/>
            <w:vAlign w:val="center"/>
            <w:hideMark/>
          </w:tcPr>
          <w:p w14:paraId="4A8A060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5.4%</w:t>
            </w:r>
          </w:p>
        </w:tc>
      </w:tr>
      <w:tr w:rsidR="00CD65E7" w:rsidRPr="00CD65E7" w14:paraId="577185B4"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79C7C29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Scotland</w:t>
            </w:r>
          </w:p>
        </w:tc>
        <w:tc>
          <w:tcPr>
            <w:tcW w:w="885" w:type="dxa"/>
            <w:tcBorders>
              <w:top w:val="nil"/>
              <w:left w:val="nil"/>
              <w:bottom w:val="single" w:sz="8" w:space="0" w:color="FFFFFF"/>
              <w:right w:val="single" w:sz="8" w:space="0" w:color="FFFFFF"/>
            </w:tcBorders>
            <w:shd w:val="clear" w:color="000000" w:fill="D0CECE"/>
            <w:vAlign w:val="center"/>
            <w:hideMark/>
          </w:tcPr>
          <w:p w14:paraId="7F80022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91.4%</w:t>
            </w:r>
          </w:p>
        </w:tc>
        <w:tc>
          <w:tcPr>
            <w:tcW w:w="885" w:type="dxa"/>
            <w:tcBorders>
              <w:top w:val="nil"/>
              <w:left w:val="nil"/>
              <w:bottom w:val="single" w:sz="8" w:space="0" w:color="FFFFFF"/>
              <w:right w:val="single" w:sz="8" w:space="0" w:color="FFFFFF"/>
            </w:tcBorders>
            <w:shd w:val="clear" w:color="000000" w:fill="D0CECE"/>
            <w:vAlign w:val="center"/>
            <w:hideMark/>
          </w:tcPr>
          <w:p w14:paraId="6CDF651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87.5%</w:t>
            </w:r>
          </w:p>
        </w:tc>
        <w:tc>
          <w:tcPr>
            <w:tcW w:w="885" w:type="dxa"/>
            <w:tcBorders>
              <w:top w:val="nil"/>
              <w:left w:val="nil"/>
              <w:bottom w:val="single" w:sz="8" w:space="0" w:color="FFFFFF"/>
              <w:right w:val="single" w:sz="8" w:space="0" w:color="FFFFFF"/>
            </w:tcBorders>
            <w:shd w:val="clear" w:color="000000" w:fill="D0CECE"/>
            <w:vAlign w:val="center"/>
            <w:hideMark/>
          </w:tcPr>
          <w:p w14:paraId="5136E65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83.4%</w:t>
            </w:r>
          </w:p>
        </w:tc>
        <w:tc>
          <w:tcPr>
            <w:tcW w:w="885" w:type="dxa"/>
            <w:tcBorders>
              <w:top w:val="nil"/>
              <w:left w:val="nil"/>
              <w:bottom w:val="single" w:sz="8" w:space="0" w:color="FFFFFF"/>
              <w:right w:val="single" w:sz="8" w:space="0" w:color="FFFFFF"/>
            </w:tcBorders>
            <w:shd w:val="clear" w:color="000000" w:fill="D0CECE"/>
            <w:vAlign w:val="center"/>
            <w:hideMark/>
          </w:tcPr>
          <w:p w14:paraId="4230A67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85.8%</w:t>
            </w:r>
          </w:p>
        </w:tc>
        <w:tc>
          <w:tcPr>
            <w:tcW w:w="885" w:type="dxa"/>
            <w:tcBorders>
              <w:top w:val="nil"/>
              <w:left w:val="nil"/>
              <w:bottom w:val="single" w:sz="8" w:space="0" w:color="FFFFFF"/>
              <w:right w:val="single" w:sz="8" w:space="0" w:color="FFFFFF"/>
            </w:tcBorders>
            <w:shd w:val="clear" w:color="000000" w:fill="D0CECE"/>
            <w:vAlign w:val="center"/>
            <w:hideMark/>
          </w:tcPr>
          <w:p w14:paraId="5F6E5EB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88.5%</w:t>
            </w:r>
          </w:p>
        </w:tc>
        <w:tc>
          <w:tcPr>
            <w:tcW w:w="885" w:type="dxa"/>
            <w:tcBorders>
              <w:top w:val="nil"/>
              <w:left w:val="nil"/>
              <w:bottom w:val="single" w:sz="8" w:space="0" w:color="FFFFFF"/>
              <w:right w:val="single" w:sz="8" w:space="0" w:color="FFFFFF"/>
            </w:tcBorders>
            <w:shd w:val="clear" w:color="000000" w:fill="D0CECE"/>
            <w:vAlign w:val="center"/>
            <w:hideMark/>
          </w:tcPr>
          <w:p w14:paraId="28359E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91.9%</w:t>
            </w:r>
          </w:p>
        </w:tc>
        <w:tc>
          <w:tcPr>
            <w:tcW w:w="885" w:type="dxa"/>
            <w:tcBorders>
              <w:top w:val="nil"/>
              <w:left w:val="nil"/>
              <w:bottom w:val="single" w:sz="8" w:space="0" w:color="FFFFFF"/>
              <w:right w:val="single" w:sz="8" w:space="0" w:color="FFFFFF"/>
            </w:tcBorders>
            <w:shd w:val="clear" w:color="000000" w:fill="D0CECE"/>
            <w:vAlign w:val="center"/>
            <w:hideMark/>
          </w:tcPr>
          <w:p w14:paraId="2C0D870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89.2%</w:t>
            </w:r>
          </w:p>
        </w:tc>
        <w:tc>
          <w:tcPr>
            <w:tcW w:w="885" w:type="dxa"/>
            <w:tcBorders>
              <w:top w:val="nil"/>
              <w:left w:val="nil"/>
              <w:bottom w:val="single" w:sz="8" w:space="0" w:color="FFFFFF"/>
              <w:right w:val="single" w:sz="8" w:space="0" w:color="FFFFFF"/>
            </w:tcBorders>
            <w:shd w:val="clear" w:color="000000" w:fill="D0CECE"/>
            <w:vAlign w:val="center"/>
            <w:hideMark/>
          </w:tcPr>
          <w:p w14:paraId="1E02408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94.3%</w:t>
            </w:r>
          </w:p>
        </w:tc>
      </w:tr>
      <w:tr w:rsidR="00CD65E7" w:rsidRPr="00CD65E7" w14:paraId="3DF8B571"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3923395C"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Wales</w:t>
            </w:r>
          </w:p>
        </w:tc>
        <w:tc>
          <w:tcPr>
            <w:tcW w:w="885" w:type="dxa"/>
            <w:tcBorders>
              <w:top w:val="nil"/>
              <w:left w:val="nil"/>
              <w:bottom w:val="single" w:sz="8" w:space="0" w:color="FFFFFF"/>
              <w:right w:val="single" w:sz="8" w:space="0" w:color="FFFFFF"/>
            </w:tcBorders>
            <w:shd w:val="clear" w:color="000000" w:fill="E7EEEF"/>
            <w:vAlign w:val="center"/>
            <w:hideMark/>
          </w:tcPr>
          <w:p w14:paraId="175C58A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4CC1335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2ADC61E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E7EEEF"/>
            <w:vAlign w:val="center"/>
            <w:hideMark/>
          </w:tcPr>
          <w:p w14:paraId="63A5DDE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6D3F873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E7EEEF"/>
            <w:vAlign w:val="center"/>
            <w:hideMark/>
          </w:tcPr>
          <w:p w14:paraId="39342D9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21C4D7A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1791586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r>
      <w:tr w:rsidR="00CD65E7" w:rsidRPr="00CD65E7" w14:paraId="11BCCF52"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095583F9"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Northern Ireland</w:t>
            </w:r>
          </w:p>
        </w:tc>
        <w:tc>
          <w:tcPr>
            <w:tcW w:w="885" w:type="dxa"/>
            <w:tcBorders>
              <w:top w:val="nil"/>
              <w:left w:val="nil"/>
              <w:bottom w:val="single" w:sz="8" w:space="0" w:color="FFFFFF"/>
              <w:right w:val="single" w:sz="8" w:space="0" w:color="FFFFFF"/>
            </w:tcBorders>
            <w:shd w:val="clear" w:color="000000" w:fill="D0CECE"/>
            <w:vAlign w:val="center"/>
            <w:hideMark/>
          </w:tcPr>
          <w:p w14:paraId="30B4AB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E2C778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2AF24D0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2C8227B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83967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6D43734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4FAB7C2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00C7F2D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75BB0F9E"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136A37C3"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of England</w:t>
            </w:r>
          </w:p>
        </w:tc>
        <w:tc>
          <w:tcPr>
            <w:tcW w:w="885" w:type="dxa"/>
            <w:tcBorders>
              <w:top w:val="nil"/>
              <w:left w:val="nil"/>
              <w:bottom w:val="single" w:sz="8" w:space="0" w:color="FFFFFF"/>
              <w:right w:val="single" w:sz="8" w:space="0" w:color="FFFFFF"/>
            </w:tcBorders>
            <w:shd w:val="clear" w:color="000000" w:fill="E7EEEF"/>
            <w:vAlign w:val="center"/>
            <w:hideMark/>
          </w:tcPr>
          <w:p w14:paraId="6CE9F0F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1.9%</w:t>
            </w:r>
          </w:p>
        </w:tc>
        <w:tc>
          <w:tcPr>
            <w:tcW w:w="885" w:type="dxa"/>
            <w:tcBorders>
              <w:top w:val="nil"/>
              <w:left w:val="nil"/>
              <w:bottom w:val="single" w:sz="8" w:space="0" w:color="FFFFFF"/>
              <w:right w:val="single" w:sz="8" w:space="0" w:color="FFFFFF"/>
            </w:tcBorders>
            <w:shd w:val="clear" w:color="000000" w:fill="E7EEEF"/>
            <w:vAlign w:val="center"/>
            <w:hideMark/>
          </w:tcPr>
          <w:p w14:paraId="65CD3F7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2.2%</w:t>
            </w:r>
          </w:p>
        </w:tc>
        <w:tc>
          <w:tcPr>
            <w:tcW w:w="885" w:type="dxa"/>
            <w:tcBorders>
              <w:top w:val="nil"/>
              <w:left w:val="nil"/>
              <w:bottom w:val="single" w:sz="8" w:space="0" w:color="FFFFFF"/>
              <w:right w:val="single" w:sz="8" w:space="0" w:color="FFFFFF"/>
            </w:tcBorders>
            <w:shd w:val="clear" w:color="000000" w:fill="E7EEEF"/>
            <w:vAlign w:val="center"/>
            <w:hideMark/>
          </w:tcPr>
          <w:p w14:paraId="0E091F8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w:t>
            </w:r>
          </w:p>
        </w:tc>
        <w:tc>
          <w:tcPr>
            <w:tcW w:w="885" w:type="dxa"/>
            <w:tcBorders>
              <w:top w:val="nil"/>
              <w:left w:val="nil"/>
              <w:bottom w:val="single" w:sz="8" w:space="0" w:color="FFFFFF"/>
              <w:right w:val="single" w:sz="8" w:space="0" w:color="FFFFFF"/>
            </w:tcBorders>
            <w:shd w:val="clear" w:color="000000" w:fill="E7EEEF"/>
            <w:vAlign w:val="center"/>
            <w:hideMark/>
          </w:tcPr>
          <w:p w14:paraId="0F0B9A0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2.1%</w:t>
            </w:r>
          </w:p>
        </w:tc>
        <w:tc>
          <w:tcPr>
            <w:tcW w:w="885" w:type="dxa"/>
            <w:tcBorders>
              <w:top w:val="nil"/>
              <w:left w:val="nil"/>
              <w:bottom w:val="single" w:sz="8" w:space="0" w:color="FFFFFF"/>
              <w:right w:val="single" w:sz="8" w:space="0" w:color="FFFFFF"/>
            </w:tcBorders>
            <w:shd w:val="clear" w:color="000000" w:fill="E7EEEF"/>
            <w:vAlign w:val="center"/>
            <w:hideMark/>
          </w:tcPr>
          <w:p w14:paraId="4B2178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c>
          <w:tcPr>
            <w:tcW w:w="885" w:type="dxa"/>
            <w:tcBorders>
              <w:top w:val="nil"/>
              <w:left w:val="nil"/>
              <w:bottom w:val="single" w:sz="8" w:space="0" w:color="FFFFFF"/>
              <w:right w:val="single" w:sz="8" w:space="0" w:color="FFFFFF"/>
            </w:tcBorders>
            <w:shd w:val="clear" w:color="000000" w:fill="E7EEEF"/>
            <w:vAlign w:val="center"/>
            <w:hideMark/>
          </w:tcPr>
          <w:p w14:paraId="5E1BA4C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2.0%</w:t>
            </w:r>
          </w:p>
        </w:tc>
        <w:tc>
          <w:tcPr>
            <w:tcW w:w="885" w:type="dxa"/>
            <w:tcBorders>
              <w:top w:val="nil"/>
              <w:left w:val="nil"/>
              <w:bottom w:val="single" w:sz="8" w:space="0" w:color="FFFFFF"/>
              <w:right w:val="single" w:sz="8" w:space="0" w:color="FFFFFF"/>
            </w:tcBorders>
            <w:shd w:val="clear" w:color="000000" w:fill="E7EEEF"/>
            <w:vAlign w:val="center"/>
            <w:hideMark/>
          </w:tcPr>
          <w:p w14:paraId="658D260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72F9D7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r>
      <w:tr w:rsidR="00CD65E7" w:rsidRPr="00CD65E7" w14:paraId="5D2BA39F"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245305C7"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East Midlands</w:t>
            </w:r>
          </w:p>
        </w:tc>
        <w:tc>
          <w:tcPr>
            <w:tcW w:w="885" w:type="dxa"/>
            <w:tcBorders>
              <w:top w:val="nil"/>
              <w:left w:val="nil"/>
              <w:bottom w:val="single" w:sz="8" w:space="0" w:color="FFFFFF"/>
              <w:right w:val="single" w:sz="8" w:space="0" w:color="FFFFFF"/>
            </w:tcBorders>
            <w:shd w:val="clear" w:color="000000" w:fill="D0CECE"/>
            <w:vAlign w:val="center"/>
            <w:hideMark/>
          </w:tcPr>
          <w:p w14:paraId="201173F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589BA2C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65C16FE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D0CECE"/>
            <w:vAlign w:val="center"/>
            <w:hideMark/>
          </w:tcPr>
          <w:p w14:paraId="48EF048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1.2%</w:t>
            </w:r>
          </w:p>
        </w:tc>
        <w:tc>
          <w:tcPr>
            <w:tcW w:w="885" w:type="dxa"/>
            <w:tcBorders>
              <w:top w:val="nil"/>
              <w:left w:val="nil"/>
              <w:bottom w:val="single" w:sz="8" w:space="0" w:color="FFFFFF"/>
              <w:right w:val="single" w:sz="8" w:space="0" w:color="FFFFFF"/>
            </w:tcBorders>
            <w:shd w:val="clear" w:color="000000" w:fill="D0CECE"/>
            <w:vAlign w:val="center"/>
            <w:hideMark/>
          </w:tcPr>
          <w:p w14:paraId="148D82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D0CECE"/>
            <w:vAlign w:val="center"/>
            <w:hideMark/>
          </w:tcPr>
          <w:p w14:paraId="13D1E2E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D0CECE"/>
            <w:vAlign w:val="center"/>
            <w:hideMark/>
          </w:tcPr>
          <w:p w14:paraId="75FA4DB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D0CECE"/>
            <w:vAlign w:val="center"/>
            <w:hideMark/>
          </w:tcPr>
          <w:p w14:paraId="1E84869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r>
      <w:tr w:rsidR="00CD65E7" w:rsidRPr="00CD65E7" w14:paraId="3CE723D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6E30EC0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London</w:t>
            </w:r>
          </w:p>
        </w:tc>
        <w:tc>
          <w:tcPr>
            <w:tcW w:w="885" w:type="dxa"/>
            <w:tcBorders>
              <w:top w:val="nil"/>
              <w:left w:val="nil"/>
              <w:bottom w:val="single" w:sz="8" w:space="0" w:color="FFFFFF"/>
              <w:right w:val="single" w:sz="8" w:space="0" w:color="FFFFFF"/>
            </w:tcBorders>
            <w:shd w:val="clear" w:color="000000" w:fill="E7EEEF"/>
            <w:vAlign w:val="center"/>
            <w:hideMark/>
          </w:tcPr>
          <w:p w14:paraId="65DB4CD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291EAF0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1.5%</w:t>
            </w:r>
          </w:p>
        </w:tc>
        <w:tc>
          <w:tcPr>
            <w:tcW w:w="885" w:type="dxa"/>
            <w:tcBorders>
              <w:top w:val="nil"/>
              <w:left w:val="nil"/>
              <w:bottom w:val="single" w:sz="8" w:space="0" w:color="FFFFFF"/>
              <w:right w:val="single" w:sz="8" w:space="0" w:color="FFFFFF"/>
            </w:tcBorders>
            <w:shd w:val="clear" w:color="000000" w:fill="E7EEEF"/>
            <w:vAlign w:val="center"/>
            <w:hideMark/>
          </w:tcPr>
          <w:p w14:paraId="192DE68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2.6%</w:t>
            </w:r>
          </w:p>
        </w:tc>
        <w:tc>
          <w:tcPr>
            <w:tcW w:w="885" w:type="dxa"/>
            <w:tcBorders>
              <w:top w:val="nil"/>
              <w:left w:val="nil"/>
              <w:bottom w:val="single" w:sz="8" w:space="0" w:color="FFFFFF"/>
              <w:right w:val="single" w:sz="8" w:space="0" w:color="FFFFFF"/>
            </w:tcBorders>
            <w:shd w:val="clear" w:color="000000" w:fill="E7EEEF"/>
            <w:vAlign w:val="center"/>
            <w:hideMark/>
          </w:tcPr>
          <w:p w14:paraId="10F299D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E7EEEF"/>
            <w:vAlign w:val="center"/>
            <w:hideMark/>
          </w:tcPr>
          <w:p w14:paraId="4604DF8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43FFA1F2"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40F4965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0238176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1.6%</w:t>
            </w:r>
          </w:p>
        </w:tc>
      </w:tr>
      <w:tr w:rsidR="00CD65E7" w:rsidRPr="00CD65E7" w14:paraId="7853FD4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0A578D6A"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East</w:t>
            </w:r>
          </w:p>
        </w:tc>
        <w:tc>
          <w:tcPr>
            <w:tcW w:w="885" w:type="dxa"/>
            <w:tcBorders>
              <w:top w:val="nil"/>
              <w:left w:val="nil"/>
              <w:bottom w:val="single" w:sz="8" w:space="0" w:color="FFFFFF"/>
              <w:right w:val="single" w:sz="8" w:space="0" w:color="FFFFFF"/>
            </w:tcBorders>
            <w:shd w:val="clear" w:color="000000" w:fill="D0CECE"/>
            <w:vAlign w:val="center"/>
            <w:hideMark/>
          </w:tcPr>
          <w:p w14:paraId="5BD8C17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1.4%</w:t>
            </w:r>
          </w:p>
        </w:tc>
        <w:tc>
          <w:tcPr>
            <w:tcW w:w="885" w:type="dxa"/>
            <w:tcBorders>
              <w:top w:val="nil"/>
              <w:left w:val="nil"/>
              <w:bottom w:val="single" w:sz="8" w:space="0" w:color="FFFFFF"/>
              <w:right w:val="single" w:sz="8" w:space="0" w:color="FFFFFF"/>
            </w:tcBorders>
            <w:shd w:val="clear" w:color="000000" w:fill="D0CECE"/>
            <w:vAlign w:val="center"/>
            <w:hideMark/>
          </w:tcPr>
          <w:p w14:paraId="2584028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1.7%</w:t>
            </w:r>
          </w:p>
        </w:tc>
        <w:tc>
          <w:tcPr>
            <w:tcW w:w="885" w:type="dxa"/>
            <w:tcBorders>
              <w:top w:val="nil"/>
              <w:left w:val="nil"/>
              <w:bottom w:val="single" w:sz="8" w:space="0" w:color="FFFFFF"/>
              <w:right w:val="single" w:sz="8" w:space="0" w:color="FFFFFF"/>
            </w:tcBorders>
            <w:shd w:val="clear" w:color="000000" w:fill="D0CECE"/>
            <w:vAlign w:val="center"/>
            <w:hideMark/>
          </w:tcPr>
          <w:p w14:paraId="5460A8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D0CECE"/>
            <w:vAlign w:val="center"/>
            <w:hideMark/>
          </w:tcPr>
          <w:p w14:paraId="1B29C207"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D0CECE"/>
            <w:vAlign w:val="center"/>
            <w:hideMark/>
          </w:tcPr>
          <w:p w14:paraId="2C05400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D0CECE"/>
            <w:vAlign w:val="center"/>
            <w:hideMark/>
          </w:tcPr>
          <w:p w14:paraId="6075992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1A80E30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5D9355E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2A74257E"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929402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North West</w:t>
            </w:r>
          </w:p>
        </w:tc>
        <w:tc>
          <w:tcPr>
            <w:tcW w:w="885" w:type="dxa"/>
            <w:tcBorders>
              <w:top w:val="nil"/>
              <w:left w:val="nil"/>
              <w:bottom w:val="single" w:sz="8" w:space="0" w:color="FFFFFF"/>
              <w:right w:val="single" w:sz="8" w:space="0" w:color="FFFFFF"/>
            </w:tcBorders>
            <w:shd w:val="clear" w:color="000000" w:fill="E7EEEF"/>
            <w:vAlign w:val="center"/>
            <w:hideMark/>
          </w:tcPr>
          <w:p w14:paraId="4E8ECF3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57B1446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469A1D2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E7EEEF"/>
            <w:vAlign w:val="center"/>
            <w:hideMark/>
          </w:tcPr>
          <w:p w14:paraId="215E278F"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E7EEEF"/>
            <w:vAlign w:val="center"/>
            <w:hideMark/>
          </w:tcPr>
          <w:p w14:paraId="3420551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c>
          <w:tcPr>
            <w:tcW w:w="885" w:type="dxa"/>
            <w:tcBorders>
              <w:top w:val="nil"/>
              <w:left w:val="nil"/>
              <w:bottom w:val="single" w:sz="8" w:space="0" w:color="FFFFFF"/>
              <w:right w:val="single" w:sz="8" w:space="0" w:color="FFFFFF"/>
            </w:tcBorders>
            <w:shd w:val="clear" w:color="000000" w:fill="E7EEEF"/>
            <w:vAlign w:val="center"/>
            <w:hideMark/>
          </w:tcPr>
          <w:p w14:paraId="576E3444"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39D802C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0.2%</w:t>
            </w:r>
          </w:p>
        </w:tc>
        <w:tc>
          <w:tcPr>
            <w:tcW w:w="885" w:type="dxa"/>
            <w:tcBorders>
              <w:top w:val="nil"/>
              <w:left w:val="nil"/>
              <w:bottom w:val="single" w:sz="8" w:space="0" w:color="FFFFFF"/>
              <w:right w:val="single" w:sz="8" w:space="0" w:color="FFFFFF"/>
            </w:tcBorders>
            <w:shd w:val="clear" w:color="000000" w:fill="E7EEEF"/>
            <w:vAlign w:val="center"/>
            <w:hideMark/>
          </w:tcPr>
          <w:p w14:paraId="2EEF394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0.3%</w:t>
            </w:r>
          </w:p>
        </w:tc>
      </w:tr>
      <w:tr w:rsidR="00CD65E7" w:rsidRPr="00CD65E7" w14:paraId="4D0EB150"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4CF1310"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East</w:t>
            </w:r>
          </w:p>
        </w:tc>
        <w:tc>
          <w:tcPr>
            <w:tcW w:w="885" w:type="dxa"/>
            <w:tcBorders>
              <w:top w:val="nil"/>
              <w:left w:val="nil"/>
              <w:bottom w:val="single" w:sz="8" w:space="0" w:color="FFFFFF"/>
              <w:right w:val="single" w:sz="8" w:space="0" w:color="FFFFFF"/>
            </w:tcBorders>
            <w:shd w:val="clear" w:color="000000" w:fill="D0CECE"/>
            <w:vAlign w:val="center"/>
            <w:hideMark/>
          </w:tcPr>
          <w:p w14:paraId="571B20C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0.4%</w:t>
            </w:r>
          </w:p>
        </w:tc>
        <w:tc>
          <w:tcPr>
            <w:tcW w:w="885" w:type="dxa"/>
            <w:tcBorders>
              <w:top w:val="nil"/>
              <w:left w:val="nil"/>
              <w:bottom w:val="single" w:sz="8" w:space="0" w:color="FFFFFF"/>
              <w:right w:val="single" w:sz="8" w:space="0" w:color="FFFFFF"/>
            </w:tcBorders>
            <w:shd w:val="clear" w:color="000000" w:fill="D0CECE"/>
            <w:vAlign w:val="center"/>
            <w:hideMark/>
          </w:tcPr>
          <w:p w14:paraId="46C6706D"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2.4%</w:t>
            </w:r>
          </w:p>
        </w:tc>
        <w:tc>
          <w:tcPr>
            <w:tcW w:w="885" w:type="dxa"/>
            <w:tcBorders>
              <w:top w:val="nil"/>
              <w:left w:val="nil"/>
              <w:bottom w:val="single" w:sz="8" w:space="0" w:color="FFFFFF"/>
              <w:right w:val="single" w:sz="8" w:space="0" w:color="FFFFFF"/>
            </w:tcBorders>
            <w:shd w:val="clear" w:color="000000" w:fill="D0CECE"/>
            <w:vAlign w:val="center"/>
            <w:hideMark/>
          </w:tcPr>
          <w:p w14:paraId="45D3ED86"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5.5%</w:t>
            </w:r>
          </w:p>
        </w:tc>
        <w:tc>
          <w:tcPr>
            <w:tcW w:w="885" w:type="dxa"/>
            <w:tcBorders>
              <w:top w:val="nil"/>
              <w:left w:val="nil"/>
              <w:bottom w:val="single" w:sz="8" w:space="0" w:color="FFFFFF"/>
              <w:right w:val="single" w:sz="8" w:space="0" w:color="FFFFFF"/>
            </w:tcBorders>
            <w:shd w:val="clear" w:color="000000" w:fill="D0CECE"/>
            <w:vAlign w:val="center"/>
            <w:hideMark/>
          </w:tcPr>
          <w:p w14:paraId="6E4C050B"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6.0%</w:t>
            </w:r>
          </w:p>
        </w:tc>
        <w:tc>
          <w:tcPr>
            <w:tcW w:w="885" w:type="dxa"/>
            <w:tcBorders>
              <w:top w:val="nil"/>
              <w:left w:val="nil"/>
              <w:bottom w:val="single" w:sz="8" w:space="0" w:color="FFFFFF"/>
              <w:right w:val="single" w:sz="8" w:space="0" w:color="FFFFFF"/>
            </w:tcBorders>
            <w:shd w:val="clear" w:color="000000" w:fill="D0CECE"/>
            <w:vAlign w:val="center"/>
            <w:hideMark/>
          </w:tcPr>
          <w:p w14:paraId="756A6F4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3.6%</w:t>
            </w:r>
          </w:p>
        </w:tc>
        <w:tc>
          <w:tcPr>
            <w:tcW w:w="885" w:type="dxa"/>
            <w:tcBorders>
              <w:top w:val="nil"/>
              <w:left w:val="nil"/>
              <w:bottom w:val="single" w:sz="8" w:space="0" w:color="FFFFFF"/>
              <w:right w:val="single" w:sz="8" w:space="0" w:color="FFFFFF"/>
            </w:tcBorders>
            <w:shd w:val="clear" w:color="000000" w:fill="D0CECE"/>
            <w:vAlign w:val="center"/>
            <w:hideMark/>
          </w:tcPr>
          <w:p w14:paraId="0F3AFEF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6554D27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D0CECE"/>
            <w:vAlign w:val="center"/>
            <w:hideMark/>
          </w:tcPr>
          <w:p w14:paraId="021A7BD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r>
      <w:tr w:rsidR="00CD65E7" w:rsidRPr="00CD65E7" w14:paraId="05F813BC"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47B536B6"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South West</w:t>
            </w:r>
          </w:p>
        </w:tc>
        <w:tc>
          <w:tcPr>
            <w:tcW w:w="885" w:type="dxa"/>
            <w:tcBorders>
              <w:top w:val="nil"/>
              <w:left w:val="nil"/>
              <w:bottom w:val="single" w:sz="8" w:space="0" w:color="FFFFFF"/>
              <w:right w:val="single" w:sz="8" w:space="0" w:color="FFFFFF"/>
            </w:tcBorders>
            <w:shd w:val="clear" w:color="000000" w:fill="E7EEEF"/>
            <w:vAlign w:val="center"/>
            <w:hideMark/>
          </w:tcPr>
          <w:p w14:paraId="0E00BD2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4D64931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266C0671"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1.8%</w:t>
            </w:r>
          </w:p>
        </w:tc>
        <w:tc>
          <w:tcPr>
            <w:tcW w:w="885" w:type="dxa"/>
            <w:tcBorders>
              <w:top w:val="nil"/>
              <w:left w:val="nil"/>
              <w:bottom w:val="single" w:sz="8" w:space="0" w:color="FFFFFF"/>
              <w:right w:val="single" w:sz="8" w:space="0" w:color="FFFFFF"/>
            </w:tcBorders>
            <w:shd w:val="clear" w:color="000000" w:fill="E7EEEF"/>
            <w:vAlign w:val="center"/>
            <w:hideMark/>
          </w:tcPr>
          <w:p w14:paraId="193FE728"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4393B5A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0.8%</w:t>
            </w:r>
          </w:p>
        </w:tc>
        <w:tc>
          <w:tcPr>
            <w:tcW w:w="885" w:type="dxa"/>
            <w:tcBorders>
              <w:top w:val="nil"/>
              <w:left w:val="nil"/>
              <w:bottom w:val="single" w:sz="8" w:space="0" w:color="FFFFFF"/>
              <w:right w:val="single" w:sz="8" w:space="0" w:color="FFFFFF"/>
            </w:tcBorders>
            <w:shd w:val="clear" w:color="000000" w:fill="E7EEEF"/>
            <w:vAlign w:val="center"/>
            <w:hideMark/>
          </w:tcPr>
          <w:p w14:paraId="14ACDCD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0.7%</w:t>
            </w:r>
          </w:p>
        </w:tc>
        <w:tc>
          <w:tcPr>
            <w:tcW w:w="885" w:type="dxa"/>
            <w:tcBorders>
              <w:top w:val="nil"/>
              <w:left w:val="nil"/>
              <w:bottom w:val="single" w:sz="8" w:space="0" w:color="FFFFFF"/>
              <w:right w:val="single" w:sz="8" w:space="0" w:color="FFFFFF"/>
            </w:tcBorders>
            <w:shd w:val="clear" w:color="000000" w:fill="E7EEEF"/>
            <w:vAlign w:val="center"/>
            <w:hideMark/>
          </w:tcPr>
          <w:p w14:paraId="46A16379"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0.5%</w:t>
            </w:r>
          </w:p>
        </w:tc>
        <w:tc>
          <w:tcPr>
            <w:tcW w:w="885" w:type="dxa"/>
            <w:tcBorders>
              <w:top w:val="nil"/>
              <w:left w:val="nil"/>
              <w:bottom w:val="single" w:sz="8" w:space="0" w:color="FFFFFF"/>
              <w:right w:val="single" w:sz="8" w:space="0" w:color="FFFFFF"/>
            </w:tcBorders>
            <w:shd w:val="clear" w:color="000000" w:fill="E7EEEF"/>
            <w:vAlign w:val="center"/>
            <w:hideMark/>
          </w:tcPr>
          <w:p w14:paraId="3871EF5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r>
      <w:tr w:rsidR="00CD65E7" w:rsidRPr="00CD65E7" w14:paraId="67D3323D"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1919C41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West Midlands</w:t>
            </w:r>
          </w:p>
        </w:tc>
        <w:tc>
          <w:tcPr>
            <w:tcW w:w="885" w:type="dxa"/>
            <w:tcBorders>
              <w:top w:val="nil"/>
              <w:left w:val="nil"/>
              <w:bottom w:val="single" w:sz="8" w:space="0" w:color="FFFFFF"/>
              <w:right w:val="single" w:sz="8" w:space="0" w:color="FFFFFF"/>
            </w:tcBorders>
            <w:shd w:val="clear" w:color="000000" w:fill="D0CECE"/>
            <w:vAlign w:val="center"/>
            <w:hideMark/>
          </w:tcPr>
          <w:p w14:paraId="0C83F043"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3CA4E84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1D6F862C"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5A7AF710"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3A64F9AE"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4ECB4C05"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c>
          <w:tcPr>
            <w:tcW w:w="885" w:type="dxa"/>
            <w:tcBorders>
              <w:top w:val="nil"/>
              <w:left w:val="nil"/>
              <w:bottom w:val="single" w:sz="8" w:space="0" w:color="FFFFFF"/>
              <w:right w:val="single" w:sz="8" w:space="0" w:color="FFFFFF"/>
            </w:tcBorders>
            <w:shd w:val="clear" w:color="000000" w:fill="D0CECE"/>
            <w:vAlign w:val="center"/>
            <w:hideMark/>
          </w:tcPr>
          <w:p w14:paraId="6830446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0.0%</w:t>
            </w:r>
          </w:p>
        </w:tc>
        <w:tc>
          <w:tcPr>
            <w:tcW w:w="885" w:type="dxa"/>
            <w:tcBorders>
              <w:top w:val="nil"/>
              <w:left w:val="nil"/>
              <w:bottom w:val="single" w:sz="8" w:space="0" w:color="FFFFFF"/>
              <w:right w:val="single" w:sz="8" w:space="0" w:color="FFFFFF"/>
            </w:tcBorders>
            <w:shd w:val="clear" w:color="000000" w:fill="D0CECE"/>
            <w:vAlign w:val="center"/>
            <w:hideMark/>
          </w:tcPr>
          <w:p w14:paraId="1EBD863A" w14:textId="77777777" w:rsidR="00CD65E7" w:rsidRPr="00CD65E7" w:rsidRDefault="00CD65E7" w:rsidP="00CD65E7">
            <w:pPr>
              <w:spacing w:after="0"/>
              <w:jc w:val="center"/>
              <w:rPr>
                <w:rFonts w:ascii="Calibri" w:eastAsia="Times New Roman" w:hAnsi="Calibri"/>
                <w:color w:val="000000"/>
                <w:sz w:val="18"/>
                <w:szCs w:val="18"/>
                <w:lang w:eastAsia="en-GB"/>
              </w:rPr>
            </w:pPr>
            <w:r w:rsidRPr="00CD65E7">
              <w:rPr>
                <w:rFonts w:ascii="Calibri" w:eastAsia="Times New Roman" w:hAnsi="Calibri"/>
                <w:color w:val="000000"/>
                <w:sz w:val="18"/>
                <w:szCs w:val="18"/>
                <w:lang w:eastAsia="en-GB"/>
              </w:rPr>
              <w:t>0.1%</w:t>
            </w:r>
          </w:p>
        </w:tc>
      </w:tr>
      <w:tr w:rsidR="00CD65E7" w:rsidRPr="00CD65E7" w14:paraId="321F4AC0" w14:textId="77777777" w:rsidTr="00CD65E7">
        <w:trPr>
          <w:trHeight w:val="332"/>
        </w:trPr>
        <w:tc>
          <w:tcPr>
            <w:tcW w:w="2472" w:type="dxa"/>
            <w:tcBorders>
              <w:top w:val="nil"/>
              <w:left w:val="nil"/>
              <w:bottom w:val="single" w:sz="12" w:space="0" w:color="FFFFFF"/>
              <w:right w:val="single" w:sz="8" w:space="0" w:color="FFFFFF"/>
            </w:tcBorders>
            <w:shd w:val="clear" w:color="000000" w:fill="008C9B"/>
            <w:vAlign w:val="center"/>
            <w:hideMark/>
          </w:tcPr>
          <w:p w14:paraId="2C3B3FD4" w14:textId="77777777" w:rsidR="00CD65E7" w:rsidRPr="00CD65E7" w:rsidRDefault="00CD65E7" w:rsidP="00CD65E7">
            <w:pPr>
              <w:spacing w:after="0"/>
              <w:rPr>
                <w:rFonts w:ascii="Calibri" w:eastAsia="Times New Roman" w:hAnsi="Calibri"/>
                <w:color w:val="FFFFFF"/>
                <w:sz w:val="20"/>
                <w:lang w:eastAsia="en-GB"/>
              </w:rPr>
            </w:pPr>
            <w:r w:rsidRPr="00CD65E7">
              <w:rPr>
                <w:rFonts w:ascii="Calibri" w:eastAsia="Times New Roman" w:hAnsi="Calibri"/>
                <w:color w:val="FFFFFF"/>
                <w:sz w:val="20"/>
                <w:lang w:eastAsia="en-GB"/>
              </w:rPr>
              <w:t>Yorkshire and the Humber</w:t>
            </w:r>
          </w:p>
        </w:tc>
        <w:tc>
          <w:tcPr>
            <w:tcW w:w="885" w:type="dxa"/>
            <w:tcBorders>
              <w:top w:val="nil"/>
              <w:left w:val="nil"/>
              <w:bottom w:val="single" w:sz="8" w:space="0" w:color="FFFFFF"/>
              <w:right w:val="single" w:sz="8" w:space="0" w:color="FFFFFF"/>
            </w:tcBorders>
            <w:shd w:val="clear" w:color="000000" w:fill="E7EEEF"/>
            <w:vAlign w:val="center"/>
            <w:hideMark/>
          </w:tcPr>
          <w:p w14:paraId="780C708B"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1.0%</w:t>
            </w:r>
          </w:p>
        </w:tc>
        <w:tc>
          <w:tcPr>
            <w:tcW w:w="885" w:type="dxa"/>
            <w:tcBorders>
              <w:top w:val="nil"/>
              <w:left w:val="nil"/>
              <w:bottom w:val="single" w:sz="8" w:space="0" w:color="FFFFFF"/>
              <w:right w:val="single" w:sz="8" w:space="0" w:color="FFFFFF"/>
            </w:tcBorders>
            <w:shd w:val="clear" w:color="000000" w:fill="E7EEEF"/>
            <w:vAlign w:val="center"/>
            <w:hideMark/>
          </w:tcPr>
          <w:p w14:paraId="10467E1C"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1.5%</w:t>
            </w:r>
          </w:p>
        </w:tc>
        <w:tc>
          <w:tcPr>
            <w:tcW w:w="885" w:type="dxa"/>
            <w:tcBorders>
              <w:top w:val="nil"/>
              <w:left w:val="nil"/>
              <w:bottom w:val="single" w:sz="8" w:space="0" w:color="FFFFFF"/>
              <w:right w:val="single" w:sz="8" w:space="0" w:color="FFFFFF"/>
            </w:tcBorders>
            <w:shd w:val="clear" w:color="000000" w:fill="E7EEEF"/>
            <w:vAlign w:val="center"/>
            <w:hideMark/>
          </w:tcPr>
          <w:p w14:paraId="7B60A427"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1.1%</w:t>
            </w:r>
          </w:p>
        </w:tc>
        <w:tc>
          <w:tcPr>
            <w:tcW w:w="885" w:type="dxa"/>
            <w:tcBorders>
              <w:top w:val="nil"/>
              <w:left w:val="nil"/>
              <w:bottom w:val="single" w:sz="8" w:space="0" w:color="FFFFFF"/>
              <w:right w:val="single" w:sz="8" w:space="0" w:color="FFFFFF"/>
            </w:tcBorders>
            <w:shd w:val="clear" w:color="000000" w:fill="E7EEEF"/>
            <w:vAlign w:val="center"/>
            <w:hideMark/>
          </w:tcPr>
          <w:p w14:paraId="45865DE9"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1.9%</w:t>
            </w:r>
          </w:p>
        </w:tc>
        <w:tc>
          <w:tcPr>
            <w:tcW w:w="885" w:type="dxa"/>
            <w:tcBorders>
              <w:top w:val="nil"/>
              <w:left w:val="nil"/>
              <w:bottom w:val="single" w:sz="8" w:space="0" w:color="FFFFFF"/>
              <w:right w:val="single" w:sz="8" w:space="0" w:color="FFFFFF"/>
            </w:tcBorders>
            <w:shd w:val="clear" w:color="000000" w:fill="E7EEEF"/>
            <w:vAlign w:val="center"/>
            <w:hideMark/>
          </w:tcPr>
          <w:p w14:paraId="4ECD834B"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2.8%</w:t>
            </w:r>
          </w:p>
        </w:tc>
        <w:tc>
          <w:tcPr>
            <w:tcW w:w="885" w:type="dxa"/>
            <w:tcBorders>
              <w:top w:val="nil"/>
              <w:left w:val="nil"/>
              <w:bottom w:val="single" w:sz="8" w:space="0" w:color="FFFFFF"/>
              <w:right w:val="single" w:sz="8" w:space="0" w:color="FFFFFF"/>
            </w:tcBorders>
            <w:shd w:val="clear" w:color="000000" w:fill="E7EEEF"/>
            <w:vAlign w:val="center"/>
            <w:hideMark/>
          </w:tcPr>
          <w:p w14:paraId="3D32B14F"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1.3%</w:t>
            </w:r>
          </w:p>
        </w:tc>
        <w:tc>
          <w:tcPr>
            <w:tcW w:w="885" w:type="dxa"/>
            <w:tcBorders>
              <w:top w:val="nil"/>
              <w:left w:val="nil"/>
              <w:bottom w:val="single" w:sz="8" w:space="0" w:color="FFFFFF"/>
              <w:right w:val="single" w:sz="8" w:space="0" w:color="FFFFFF"/>
            </w:tcBorders>
            <w:shd w:val="clear" w:color="000000" w:fill="E7EEEF"/>
            <w:vAlign w:val="center"/>
            <w:hideMark/>
          </w:tcPr>
          <w:p w14:paraId="5CC8EE1A"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4.2%</w:t>
            </w:r>
          </w:p>
        </w:tc>
        <w:tc>
          <w:tcPr>
            <w:tcW w:w="885" w:type="dxa"/>
            <w:tcBorders>
              <w:top w:val="nil"/>
              <w:left w:val="nil"/>
              <w:bottom w:val="single" w:sz="8" w:space="0" w:color="FFFFFF"/>
              <w:right w:val="single" w:sz="8" w:space="0" w:color="FFFFFF"/>
            </w:tcBorders>
            <w:shd w:val="clear" w:color="000000" w:fill="E7EEEF"/>
            <w:vAlign w:val="center"/>
            <w:hideMark/>
          </w:tcPr>
          <w:p w14:paraId="23634373" w14:textId="77777777" w:rsidR="00CD65E7" w:rsidRPr="00CD65E7" w:rsidRDefault="00CD65E7" w:rsidP="00CD65E7">
            <w:pPr>
              <w:spacing w:after="0"/>
              <w:jc w:val="center"/>
              <w:rPr>
                <w:rFonts w:ascii="Calibri" w:eastAsia="Times New Roman" w:hAnsi="Calibri"/>
                <w:color w:val="000000"/>
                <w:sz w:val="20"/>
                <w:lang w:eastAsia="en-GB"/>
              </w:rPr>
            </w:pPr>
            <w:r w:rsidRPr="00CD65E7">
              <w:rPr>
                <w:rFonts w:ascii="Calibri" w:eastAsia="Times New Roman" w:hAnsi="Calibri"/>
                <w:color w:val="000000"/>
                <w:sz w:val="20"/>
                <w:lang w:eastAsia="en-GB"/>
              </w:rPr>
              <w:t>0.8%</w:t>
            </w:r>
          </w:p>
        </w:tc>
      </w:tr>
    </w:tbl>
    <w:p w14:paraId="235FD145" w14:textId="77777777" w:rsidR="00AC5E49" w:rsidRDefault="00AC5E49" w:rsidP="00CD65E7">
      <w:pPr>
        <w:keepNext/>
        <w:keepLines/>
        <w:spacing w:before="60" w:after="120"/>
        <w:jc w:val="right"/>
        <w:rPr>
          <w:i/>
          <w:color w:val="000000" w:themeColor="text1"/>
          <w:sz w:val="18"/>
        </w:rPr>
      </w:pPr>
      <w:r w:rsidRPr="00BB097C">
        <w:rPr>
          <w:i/>
          <w:color w:val="000000" w:themeColor="text1"/>
          <w:sz w:val="18"/>
        </w:rPr>
        <w:t>Source:</w:t>
      </w:r>
      <w:r>
        <w:rPr>
          <w:i/>
          <w:color w:val="000000" w:themeColor="text1"/>
          <w:sz w:val="18"/>
        </w:rPr>
        <w:t xml:space="preserve"> ONS</w:t>
      </w:r>
      <w:r w:rsidRPr="00BB097C">
        <w:rPr>
          <w:i/>
          <w:color w:val="000000" w:themeColor="text1"/>
          <w:sz w:val="18"/>
        </w:rPr>
        <w:t>, Cebr analysis</w:t>
      </w:r>
    </w:p>
    <w:p w14:paraId="2DEC07CE" w14:textId="66040899" w:rsidR="00AC5E49" w:rsidRDefault="00AC5E49" w:rsidP="00DF6654">
      <w:pPr>
        <w:pStyle w:val="ListBullet"/>
        <w:numPr>
          <w:ilvl w:val="0"/>
          <w:numId w:val="0"/>
        </w:numPr>
        <w:spacing w:after="0"/>
        <w:rPr>
          <w:rFonts w:ascii="Calibri" w:eastAsia="Microsoft JhengHei" w:hAnsi="Calibri"/>
          <w:szCs w:val="22"/>
        </w:rPr>
      </w:pPr>
      <w:r w:rsidRPr="003B0364">
        <w:rPr>
          <w:rFonts w:ascii="Calibri" w:eastAsia="Microsoft JhengHei" w:hAnsi="Calibri"/>
          <w:szCs w:val="22"/>
        </w:rPr>
        <w:t xml:space="preserve">For the Marine renewable energy activities, </w:t>
      </w:r>
      <w:r>
        <w:rPr>
          <w:rFonts w:ascii="Calibri" w:eastAsia="Microsoft JhengHei" w:hAnsi="Calibri"/>
          <w:szCs w:val="22"/>
        </w:rPr>
        <w:t xml:space="preserve">the proportion of employment in </w:t>
      </w:r>
      <w:r w:rsidR="000B1F8A">
        <w:rPr>
          <w:rFonts w:ascii="Calibri" w:eastAsia="Microsoft JhengHei" w:hAnsi="Calibri"/>
          <w:szCs w:val="22"/>
        </w:rPr>
        <w:t>Wales</w:t>
      </w:r>
      <w:r>
        <w:rPr>
          <w:rFonts w:ascii="Calibri" w:eastAsia="Microsoft JhengHei" w:hAnsi="Calibri"/>
          <w:szCs w:val="22"/>
        </w:rPr>
        <w:t xml:space="preserve"> has been </w:t>
      </w:r>
      <w:r w:rsidR="00BD2AE3">
        <w:rPr>
          <w:rFonts w:ascii="Calibri" w:eastAsia="Microsoft JhengHei" w:hAnsi="Calibri"/>
          <w:szCs w:val="22"/>
        </w:rPr>
        <w:t>based</w:t>
      </w:r>
      <w:r>
        <w:rPr>
          <w:rFonts w:ascii="Calibri" w:eastAsia="Microsoft JhengHei" w:hAnsi="Calibri"/>
          <w:szCs w:val="22"/>
        </w:rPr>
        <w:t xml:space="preserve"> </w:t>
      </w:r>
      <w:r w:rsidR="00BD2AE3">
        <w:rPr>
          <w:rFonts w:ascii="Calibri" w:eastAsia="Microsoft JhengHei" w:hAnsi="Calibri"/>
          <w:szCs w:val="22"/>
        </w:rPr>
        <w:t>on</w:t>
      </w:r>
      <w:r>
        <w:rPr>
          <w:rFonts w:ascii="Calibri" w:eastAsia="Microsoft JhengHei" w:hAnsi="Calibri"/>
          <w:szCs w:val="22"/>
        </w:rPr>
        <w:t xml:space="preserve"> the BIS report released in 2015, “The Size and Performance of the UK Low Carbon Economy”.</w:t>
      </w:r>
      <w:r w:rsidRPr="003B0364">
        <w:rPr>
          <w:vertAlign w:val="superscript"/>
        </w:rPr>
        <w:footnoteReference w:id="10"/>
      </w:r>
      <w:r>
        <w:rPr>
          <w:rFonts w:ascii="Calibri" w:eastAsia="Microsoft JhengHei" w:hAnsi="Calibri"/>
          <w:szCs w:val="22"/>
        </w:rPr>
        <w:t xml:space="preserve"> </w:t>
      </w:r>
    </w:p>
    <w:p w14:paraId="24085929" w14:textId="77777777" w:rsidR="00DF6654" w:rsidRPr="003B0364" w:rsidRDefault="00DF6654" w:rsidP="00DF6654">
      <w:pPr>
        <w:pStyle w:val="ListBullet"/>
        <w:numPr>
          <w:ilvl w:val="0"/>
          <w:numId w:val="0"/>
        </w:numPr>
        <w:spacing w:after="0"/>
        <w:rPr>
          <w:rFonts w:ascii="Calibri" w:eastAsia="Microsoft JhengHei" w:hAnsi="Calibri"/>
          <w:szCs w:val="22"/>
        </w:rPr>
      </w:pPr>
    </w:p>
    <w:p w14:paraId="22FD9BD0" w14:textId="77777777" w:rsidR="008D0671" w:rsidRDefault="008D0671" w:rsidP="00DF6654">
      <w:pPr>
        <w:pStyle w:val="ListBullet"/>
        <w:numPr>
          <w:ilvl w:val="0"/>
          <w:numId w:val="0"/>
        </w:numPr>
        <w:spacing w:after="120"/>
        <w:rPr>
          <w:rFonts w:ascii="Calibri" w:eastAsia="Microsoft JhengHei" w:hAnsi="Calibri"/>
          <w:b/>
          <w:szCs w:val="22"/>
        </w:rPr>
      </w:pPr>
    </w:p>
    <w:p w14:paraId="764F4E55" w14:textId="77777777" w:rsidR="008D0671" w:rsidRDefault="008D0671" w:rsidP="00DF6654">
      <w:pPr>
        <w:pStyle w:val="ListBullet"/>
        <w:numPr>
          <w:ilvl w:val="0"/>
          <w:numId w:val="0"/>
        </w:numPr>
        <w:spacing w:after="120"/>
        <w:rPr>
          <w:rFonts w:ascii="Calibri" w:eastAsia="Microsoft JhengHei" w:hAnsi="Calibri"/>
          <w:b/>
          <w:szCs w:val="22"/>
        </w:rPr>
      </w:pPr>
    </w:p>
    <w:p w14:paraId="52F4251A" w14:textId="19AC460B" w:rsidR="00AC5E49" w:rsidRPr="00CE5C73" w:rsidRDefault="00AC5E49" w:rsidP="00DF6654">
      <w:pPr>
        <w:pStyle w:val="ListBullet"/>
        <w:numPr>
          <w:ilvl w:val="0"/>
          <w:numId w:val="0"/>
        </w:numPr>
        <w:spacing w:after="120"/>
        <w:rPr>
          <w:rFonts w:ascii="Calibri" w:eastAsia="Microsoft JhengHei" w:hAnsi="Calibri"/>
          <w:b/>
          <w:szCs w:val="22"/>
        </w:rPr>
      </w:pPr>
      <w:r>
        <w:rPr>
          <w:rFonts w:ascii="Calibri" w:eastAsia="Microsoft JhengHei" w:hAnsi="Calibri"/>
          <w:b/>
          <w:szCs w:val="22"/>
        </w:rPr>
        <w:lastRenderedPageBreak/>
        <w:t>Maritime Business Services</w:t>
      </w:r>
      <w:r w:rsidR="00BD2AE3">
        <w:rPr>
          <w:rFonts w:ascii="Calibri" w:eastAsia="Microsoft JhengHei" w:hAnsi="Calibri"/>
          <w:b/>
          <w:szCs w:val="22"/>
        </w:rPr>
        <w:t xml:space="preserve"> Industry</w:t>
      </w:r>
    </w:p>
    <w:p w14:paraId="5520AEFF" w14:textId="77777777" w:rsidR="00BD2AE3" w:rsidRDefault="00BD2AE3" w:rsidP="00BD2AE3">
      <w:r>
        <w:t>When conducting our bottom-up analysis of the MBS Sector, we found that between 75% and 85% of MBS activities were located in the London region. Therefore, we have distributed regional activity for each indicator based on these findings, for example, London was found to account for 84% of MBS GVA and thus the remaining 26% was allocated based on the economic activity of the ports industry in each region.</w:t>
      </w:r>
      <w:r w:rsidRPr="00DF6F22">
        <w:rPr>
          <w:rStyle w:val="FootnoteReference"/>
          <w:rFonts w:eastAsiaTheme="minorHAnsi" w:cstheme="minorBidi"/>
          <w:position w:val="0"/>
          <w:sz w:val="22"/>
          <w:szCs w:val="22"/>
          <w:lang w:eastAsia="en-US"/>
        </w:rPr>
        <w:footnoteReference w:id="11"/>
      </w:r>
      <w:r>
        <w:t xml:space="preserve"> For further information on the regional disaggregation of Ports industry activities, please refer to Cebr’s separate report on the economic activity of the UK ports industry. </w:t>
      </w:r>
    </w:p>
    <w:p w14:paraId="6BC8E353" w14:textId="77777777" w:rsidR="00AC5E49" w:rsidRDefault="00AC5E49" w:rsidP="00DF6654">
      <w:pPr>
        <w:pStyle w:val="ListBullet"/>
        <w:numPr>
          <w:ilvl w:val="0"/>
          <w:numId w:val="0"/>
        </w:numPr>
        <w:spacing w:after="120"/>
        <w:rPr>
          <w:rFonts w:ascii="Calibri" w:eastAsia="Microsoft JhengHei" w:hAnsi="Calibri"/>
          <w:b/>
          <w:szCs w:val="22"/>
        </w:rPr>
      </w:pPr>
      <w:r>
        <w:rPr>
          <w:rFonts w:ascii="Calibri" w:eastAsia="Microsoft JhengHei" w:hAnsi="Calibri"/>
          <w:b/>
          <w:szCs w:val="22"/>
        </w:rPr>
        <w:t>Other adjustments for regional economic activity</w:t>
      </w:r>
    </w:p>
    <w:p w14:paraId="14C5CB56" w14:textId="7A3917C4" w:rsidR="00AC5E49" w:rsidRDefault="00AC5E49" w:rsidP="00AC5E49">
      <w:r>
        <w:t>Other adjustments have been made to the regional disaggregation of the key macroeconomic indicators which represent the direct ec</w:t>
      </w:r>
      <w:r w:rsidR="006A1032">
        <w:t xml:space="preserve">onomic impacts of the </w:t>
      </w:r>
      <w:r w:rsidR="00654BBE">
        <w:t>Maritime Sector</w:t>
      </w:r>
      <w:r>
        <w:t xml:space="preserve"> in </w:t>
      </w:r>
      <w:r w:rsidR="00DF6654">
        <w:t>Wales</w:t>
      </w:r>
      <w:r>
        <w:t xml:space="preserve">, in order to reflect differences in wider economic performance between </w:t>
      </w:r>
      <w:r w:rsidR="00C94329">
        <w:t>Wales</w:t>
      </w:r>
      <w:r>
        <w:t xml:space="preserve"> and the other UK regions. These are as follows:</w:t>
      </w:r>
    </w:p>
    <w:p w14:paraId="0316502D" w14:textId="51773186" w:rsidR="00AC5E49" w:rsidRPr="00356258" w:rsidRDefault="00AC5E49" w:rsidP="00AC5E49">
      <w:pPr>
        <w:pStyle w:val="ListBullet"/>
        <w:numPr>
          <w:ilvl w:val="0"/>
          <w:numId w:val="31"/>
        </w:numPr>
        <w:spacing w:after="120"/>
        <w:ind w:left="360"/>
        <w:rPr>
          <w:rFonts w:ascii="Calibri" w:eastAsia="Microsoft JhengHei" w:hAnsi="Calibri"/>
        </w:rPr>
      </w:pPr>
      <w:r>
        <w:t xml:space="preserve">To account for regional differences in productivity (GVA per employee), GVA in </w:t>
      </w:r>
      <w:r w:rsidR="00DF6654">
        <w:t>Wales</w:t>
      </w:r>
      <w:r>
        <w:t xml:space="preserve"> has been adjusted using the ONS GVA per employee by region statistics</w:t>
      </w:r>
      <w:r w:rsidRPr="00F73315">
        <w:rPr>
          <w:rFonts w:ascii="Calibri" w:eastAsia="Microsoft JhengHei" w:hAnsi="Calibri"/>
        </w:rPr>
        <w:t>.</w:t>
      </w:r>
      <w:r w:rsidRPr="00F73315">
        <w:rPr>
          <w:rFonts w:ascii="Calibri" w:eastAsia="Microsoft JhengHei" w:hAnsi="Calibri"/>
          <w:vertAlign w:val="superscript"/>
        </w:rPr>
        <w:footnoteReference w:id="12"/>
      </w:r>
      <w:r w:rsidRPr="00F73315">
        <w:rPr>
          <w:rFonts w:ascii="Calibri" w:eastAsia="Microsoft JhengHei" w:hAnsi="Calibri"/>
          <w:vertAlign w:val="superscript"/>
        </w:rPr>
        <w:t xml:space="preserve"> </w:t>
      </w:r>
      <w:r w:rsidRPr="00B3199F">
        <w:rPr>
          <w:rFonts w:ascii="Calibri" w:eastAsia="Microsoft JhengHei" w:hAnsi="Calibri"/>
        </w:rPr>
        <w:t>For</w:t>
      </w:r>
      <w:r w:rsidRPr="00B3199F">
        <w:t xml:space="preserve"> example, the average employee in </w:t>
      </w:r>
      <w:r w:rsidR="00B3199F" w:rsidRPr="00B3199F">
        <w:t>Wales</w:t>
      </w:r>
      <w:r w:rsidRPr="00B3199F">
        <w:t xml:space="preserve"> in 201</w:t>
      </w:r>
      <w:r w:rsidR="00307E8C">
        <w:t>7</w:t>
      </w:r>
      <w:r w:rsidRPr="00B3199F">
        <w:t xml:space="preserve"> was </w:t>
      </w:r>
      <w:r w:rsidR="00364400">
        <w:t>2</w:t>
      </w:r>
      <w:r w:rsidR="00307E8C">
        <w:t>2</w:t>
      </w:r>
      <w:r w:rsidRPr="00B3199F">
        <w:t>% less productive than th</w:t>
      </w:r>
      <w:r w:rsidR="00307E8C">
        <w:t>e average UK employee.</w:t>
      </w:r>
    </w:p>
    <w:p w14:paraId="0A0E8F17" w14:textId="3009BD8B" w:rsidR="00AC5E49" w:rsidRDefault="00AC5E49" w:rsidP="00AC5E49">
      <w:pPr>
        <w:pStyle w:val="ListBullet"/>
        <w:numPr>
          <w:ilvl w:val="0"/>
          <w:numId w:val="31"/>
        </w:numPr>
        <w:spacing w:after="120"/>
        <w:ind w:left="360"/>
        <w:rPr>
          <w:rFonts w:ascii="Calibri" w:eastAsia="Microsoft JhengHei" w:hAnsi="Calibri"/>
        </w:rPr>
      </w:pPr>
      <w:r>
        <w:rPr>
          <w:rFonts w:ascii="Calibri" w:eastAsia="Microsoft JhengHei" w:hAnsi="Calibri"/>
        </w:rPr>
        <w:t>To account for regional differences in wages and salaries, estimated wages and salaries paid to employees in the Maritime Business Services industry have been adjusted using differentials taken from ASHE.</w:t>
      </w:r>
      <w:r w:rsidRPr="00E22B03">
        <w:rPr>
          <w:vertAlign w:val="superscript"/>
        </w:rPr>
        <w:footnoteReference w:id="13"/>
      </w:r>
      <w:r w:rsidRPr="00E22B03">
        <w:rPr>
          <w:vertAlign w:val="superscript"/>
        </w:rPr>
        <w:t xml:space="preserve"> </w:t>
      </w:r>
    </w:p>
    <w:p w14:paraId="6B94166F" w14:textId="77777777" w:rsidR="00AC5E49" w:rsidRDefault="00AC5E49" w:rsidP="00AC5E49">
      <w:pPr>
        <w:pStyle w:val="ListBullet"/>
        <w:numPr>
          <w:ilvl w:val="0"/>
          <w:numId w:val="31"/>
        </w:numPr>
        <w:ind w:left="360"/>
        <w:rPr>
          <w:rFonts w:ascii="Calibri" w:eastAsia="Microsoft JhengHei" w:hAnsi="Calibri"/>
        </w:rPr>
      </w:pPr>
      <w:r>
        <w:rPr>
          <w:rFonts w:ascii="Calibri" w:eastAsia="Microsoft JhengHei" w:hAnsi="Calibri"/>
        </w:rPr>
        <w:t>To account for regional variation in the ratio of compensation of employees to GVA in different sectors, the compensation of employees for the industry have been adjusted using regional differentials implied by the closest industry, as sourced from the Annual Business Survey.</w:t>
      </w:r>
    </w:p>
    <w:p w14:paraId="2B2D902F" w14:textId="09A836B0" w:rsidR="00AC5E49" w:rsidRPr="0086705B" w:rsidRDefault="00AC5E49" w:rsidP="00AC5E49">
      <w:pPr>
        <w:spacing w:after="0"/>
      </w:pPr>
      <w:r>
        <w:t>The next sections in this report set out the direct and wider ec</w:t>
      </w:r>
      <w:r w:rsidR="00C94329">
        <w:t xml:space="preserve">onomic impacts of the </w:t>
      </w:r>
      <w:r w:rsidR="00654BBE">
        <w:t>Maritime Sector</w:t>
      </w:r>
      <w:r>
        <w:t xml:space="preserve"> in </w:t>
      </w:r>
      <w:r w:rsidR="00B3199F">
        <w:t>Wales</w:t>
      </w:r>
      <w:r>
        <w:t>, broken down by Maritime industry.</w:t>
      </w:r>
    </w:p>
    <w:p w14:paraId="4F5F64CA" w14:textId="52F74DDA" w:rsidR="00D817BE" w:rsidRDefault="00D817BE" w:rsidP="00D817BE">
      <w:pPr>
        <w:pStyle w:val="Heading1"/>
      </w:pPr>
      <w:bookmarkStart w:id="34" w:name="_Toc488396651"/>
      <w:bookmarkStart w:id="35" w:name="_Toc18076338"/>
      <w:r>
        <w:lastRenderedPageBreak/>
        <w:t>The direct e</w:t>
      </w:r>
      <w:r w:rsidR="00C94329">
        <w:t xml:space="preserve">conomic impact of the </w:t>
      </w:r>
      <w:r w:rsidR="00654BBE">
        <w:t>Maritime Sector</w:t>
      </w:r>
      <w:r>
        <w:t xml:space="preserve"> in </w:t>
      </w:r>
      <w:bookmarkEnd w:id="34"/>
      <w:r>
        <w:t>Wales</w:t>
      </w:r>
      <w:bookmarkEnd w:id="35"/>
    </w:p>
    <w:p w14:paraId="19AA85E2" w14:textId="116CBE93" w:rsidR="00D817BE" w:rsidRDefault="00D817BE" w:rsidP="00D817BE">
      <w:pPr>
        <w:spacing w:after="120"/>
      </w:pPr>
      <w:r>
        <w:t>In this section we set out estimates for the direc</w:t>
      </w:r>
      <w:r w:rsidR="00C94329">
        <w:t xml:space="preserve">t contribution of the </w:t>
      </w:r>
      <w:r w:rsidR="00654BBE">
        <w:t>Maritime Sector</w:t>
      </w:r>
      <w:r>
        <w:t xml:space="preserve"> in Wales across the following key macroeconomic indicators: </w:t>
      </w:r>
      <w:r w:rsidR="00C94329">
        <w:t>business turnover,</w:t>
      </w:r>
      <w:r>
        <w:t xml:space="preserve"> GVA, employment, the compensation of employees</w:t>
      </w:r>
      <w:r w:rsidRPr="004639CB">
        <w:t>,</w:t>
      </w:r>
      <w:r>
        <w:t xml:space="preserve"> the Exchequer contribution through tax revenues raised, and exports of goods and services. After quantifying the direct contributions made through the first four of these activities, the wider contribution</w:t>
      </w:r>
      <w:r w:rsidR="00C94329">
        <w:t xml:space="preserve"> that the Welsh-based </w:t>
      </w:r>
      <w:r w:rsidR="00654BBE">
        <w:t>Maritime Sector</w:t>
      </w:r>
      <w:r>
        <w:t xml:space="preserve"> makes to the Welsh and UK economies is then examined in the following section of this report.</w:t>
      </w:r>
    </w:p>
    <w:p w14:paraId="3DDEE32D" w14:textId="59766DBC" w:rsidR="00D817BE" w:rsidRDefault="00D817BE" w:rsidP="00D817BE">
      <w:pPr>
        <w:spacing w:after="120"/>
      </w:pPr>
      <w:r>
        <w:t>The direct ec</w:t>
      </w:r>
      <w:r w:rsidR="00C94329">
        <w:t xml:space="preserve">onomic impacts of the </w:t>
      </w:r>
      <w:r w:rsidR="00654BBE">
        <w:t>Maritime Sector</w:t>
      </w:r>
      <w:r>
        <w:t xml:space="preserve"> in Wales are separated </w:t>
      </w:r>
      <w:r w:rsidR="00CD493D">
        <w:t>based on</w:t>
      </w:r>
      <w:r>
        <w:t xml:space="preserve"> those contribu</w:t>
      </w:r>
      <w:r w:rsidR="00C94329">
        <w:t>ted by each Maritime industry (shipping, ports, leisure m</w:t>
      </w:r>
      <w:r>
        <w:t>arine</w:t>
      </w:r>
      <w:r w:rsidR="00C94329">
        <w:t>, marine engineering and scientific industry</w:t>
      </w:r>
      <w:r>
        <w:t xml:space="preserve"> and Maritime Business Services). </w:t>
      </w:r>
    </w:p>
    <w:p w14:paraId="2D4AA0AB" w14:textId="03139862" w:rsidR="00D817BE" w:rsidRDefault="00D817BE" w:rsidP="00D817BE">
      <w:pPr>
        <w:pStyle w:val="Heading2"/>
      </w:pPr>
      <w:bookmarkStart w:id="36" w:name="_Toc488396652"/>
      <w:bookmarkStart w:id="37" w:name="_Toc18076339"/>
      <w:r>
        <w:t xml:space="preserve">The direct impact through </w:t>
      </w:r>
      <w:bookmarkEnd w:id="36"/>
      <w:r w:rsidR="00C94329">
        <w:t>turnover</w:t>
      </w:r>
      <w:bookmarkEnd w:id="37"/>
    </w:p>
    <w:p w14:paraId="157067FA" w14:textId="47C2FC7B" w:rsidR="001F6A1D" w:rsidRPr="001F6A1D" w:rsidRDefault="00FA449A" w:rsidP="001F6A1D">
      <w:r>
        <w:t xml:space="preserve">This </w:t>
      </w:r>
      <w:r w:rsidR="001A58C9">
        <w:t>sub</w:t>
      </w:r>
      <w:r>
        <w:t xml:space="preserve">section considers the total amount of </w:t>
      </w:r>
      <w:r w:rsidR="00C94329">
        <w:t>turnover</w:t>
      </w:r>
      <w:r>
        <w:t xml:space="preserve"> directly supported by the </w:t>
      </w:r>
      <w:r w:rsidR="00654BBE">
        <w:t>Maritime Sector</w:t>
      </w:r>
      <w:r>
        <w:t xml:space="preserve"> in Wales through turnover generated by businesses. </w:t>
      </w:r>
      <w:r>
        <w:fldChar w:fldCharType="begin"/>
      </w:r>
      <w:r>
        <w:instrText xml:space="preserve"> REF _Ref490039725 \h </w:instrText>
      </w:r>
      <w:r>
        <w:fldChar w:fldCharType="separate"/>
      </w:r>
      <w:r w:rsidR="00963862">
        <w:t xml:space="preserve">Figure </w:t>
      </w:r>
      <w:r w:rsidR="00963862">
        <w:rPr>
          <w:noProof/>
        </w:rPr>
        <w:t>2</w:t>
      </w:r>
      <w:r>
        <w:fldChar w:fldCharType="end"/>
      </w:r>
      <w:r>
        <w:t xml:space="preserve"> below shows the breakdown of business turnover generated by the </w:t>
      </w:r>
      <w:r w:rsidR="00654BBE">
        <w:t>Maritime Sector</w:t>
      </w:r>
      <w:r>
        <w:t xml:space="preserve"> and its constituent industries in Wales between 2010 and 201</w:t>
      </w:r>
      <w:r w:rsidR="00F332D8">
        <w:t>7</w:t>
      </w:r>
      <w:r>
        <w:t xml:space="preserve">; and this turnover as a percentage of the </w:t>
      </w:r>
      <w:r w:rsidR="00C94329">
        <w:t xml:space="preserve">UK </w:t>
      </w:r>
      <w:r w:rsidR="00654BBE">
        <w:t>Maritime Sector</w:t>
      </w:r>
      <w:r>
        <w:t xml:space="preserve"> as a whole. </w:t>
      </w:r>
    </w:p>
    <w:p w14:paraId="2546DF27" w14:textId="1C1D8F6F" w:rsidR="001F6A1D" w:rsidRDefault="001F6A1D" w:rsidP="001F6A1D">
      <w:pPr>
        <w:pStyle w:val="Caption"/>
        <w:keepNext/>
      </w:pPr>
      <w:bookmarkStart w:id="38" w:name="_Ref490039725"/>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2</w:t>
      </w:r>
      <w:r w:rsidR="00A420C1">
        <w:rPr>
          <w:noProof/>
        </w:rPr>
        <w:fldChar w:fldCharType="end"/>
      </w:r>
      <w:bookmarkEnd w:id="38"/>
      <w:r>
        <w:t xml:space="preserve">. The estimated turnover of the </w:t>
      </w:r>
      <w:r w:rsidR="00654BBE">
        <w:t>Maritime Sector</w:t>
      </w:r>
      <w:r>
        <w:t xml:space="preserve"> in Wales,</w:t>
      </w:r>
      <w:r w:rsidR="00C94329">
        <w:t xml:space="preserve"> and the share of the </w:t>
      </w:r>
      <w:r w:rsidR="00654BBE">
        <w:t>Maritime Sector</w:t>
      </w:r>
      <w:r>
        <w:t>'s total turnover</w:t>
      </w:r>
      <w:r w:rsidR="00CD65E7">
        <w:t>, 2010 to 2017</w:t>
      </w:r>
    </w:p>
    <w:p w14:paraId="669F5F7E" w14:textId="6E77014A" w:rsidR="00106B91" w:rsidRPr="00106B91" w:rsidRDefault="00F332D8" w:rsidP="00106B91">
      <w:r>
        <w:rPr>
          <w:noProof/>
          <w:lang w:eastAsia="en-GB"/>
        </w:rPr>
        <w:drawing>
          <wp:anchor distT="0" distB="0" distL="114300" distR="114300" simplePos="0" relativeHeight="251658240" behindDoc="0" locked="0" layoutInCell="1" allowOverlap="1" wp14:anchorId="66F7887E" wp14:editId="605F94AE">
            <wp:simplePos x="0" y="0"/>
            <wp:positionH relativeFrom="margin">
              <wp:align>center</wp:align>
            </wp:positionH>
            <wp:positionV relativeFrom="paragraph">
              <wp:posOffset>2540</wp:posOffset>
            </wp:positionV>
            <wp:extent cx="5976000" cy="3240000"/>
            <wp:effectExtent l="0" t="0" r="5715" b="0"/>
            <wp:wrapTopAndBottom/>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p>
    <w:p w14:paraId="474D78FE" w14:textId="77777777" w:rsidR="001F6A1D" w:rsidRPr="00E851E8" w:rsidRDefault="001F6A1D" w:rsidP="001F6A1D">
      <w:pPr>
        <w:spacing w:before="60" w:after="120"/>
        <w:jc w:val="right"/>
        <w:rPr>
          <w:i/>
          <w:sz w:val="18"/>
        </w:rPr>
      </w:pPr>
      <w:r>
        <w:rPr>
          <w:i/>
          <w:sz w:val="18"/>
        </w:rPr>
        <w:t xml:space="preserve">Source: FAME, </w:t>
      </w:r>
      <w:r w:rsidRPr="00E851E8">
        <w:rPr>
          <w:i/>
          <w:sz w:val="18"/>
        </w:rPr>
        <w:t>ONS, Cebr analysis</w:t>
      </w:r>
    </w:p>
    <w:p w14:paraId="33BE7ACD" w14:textId="541BAB60" w:rsidR="00E4242C" w:rsidRDefault="00F332D8" w:rsidP="00FA449A">
      <w:pPr>
        <w:spacing w:after="120"/>
      </w:pPr>
      <w:r>
        <w:t>In 2017</w:t>
      </w:r>
      <w:r w:rsidR="00FA449A">
        <w:t xml:space="preserve"> the direct turnover contribution of the </w:t>
      </w:r>
      <w:r w:rsidR="00654BBE">
        <w:t>Maritime Sector</w:t>
      </w:r>
      <w:r w:rsidR="00FA449A">
        <w:t xml:space="preserve"> in Wales was </w:t>
      </w:r>
      <w:r w:rsidR="00E6105E">
        <w:t>£</w:t>
      </w:r>
      <w:r>
        <w:t>493</w:t>
      </w:r>
      <w:r w:rsidR="0079635D">
        <w:t xml:space="preserve"> million. This constitute</w:t>
      </w:r>
      <w:r w:rsidR="00CD493D">
        <w:t>d</w:t>
      </w:r>
      <w:r w:rsidR="0079635D">
        <w:t xml:space="preserve"> </w:t>
      </w:r>
      <w:r>
        <w:t>1.0</w:t>
      </w:r>
      <w:r w:rsidR="00C94329">
        <w:t xml:space="preserve">% of the overall UK </w:t>
      </w:r>
      <w:r w:rsidR="00654BBE">
        <w:t>Maritime Sector</w:t>
      </w:r>
      <w:r w:rsidR="0079635D">
        <w:t xml:space="preserve"> turnover contribution. </w:t>
      </w:r>
      <w:r w:rsidR="0053093B">
        <w:t xml:space="preserve">This is a significant reduction on the peak turnover </w:t>
      </w:r>
      <w:r w:rsidR="008A0E5C">
        <w:t xml:space="preserve">contributions made by the </w:t>
      </w:r>
      <w:r w:rsidR="00654BBE">
        <w:t>Maritime Sector</w:t>
      </w:r>
      <w:r w:rsidR="008A0E5C">
        <w:t xml:space="preserve"> in Wales (approximately £1.3 billion in 2011 and 2012). The most significant decline occurred between 2016 and 2017, where the turnover </w:t>
      </w:r>
      <w:r w:rsidR="008A0E5C">
        <w:lastRenderedPageBreak/>
        <w:t xml:space="preserve">contributions made by the Welsh </w:t>
      </w:r>
      <w:r w:rsidR="00654BBE">
        <w:t>Maritime Sector</w:t>
      </w:r>
      <w:r w:rsidR="008A0E5C">
        <w:t xml:space="preserve"> declined by 43%</w:t>
      </w:r>
      <w:r w:rsidR="00A613E8">
        <w:t>.</w:t>
      </w:r>
      <w:r w:rsidR="001651EC">
        <w:t xml:space="preserve"> Shipping contributed</w:t>
      </w:r>
      <w:r w:rsidR="008E0052">
        <w:t xml:space="preserve"> to the biggest decline in 2017, with turnover declining by more than 56% from 2016 to 2017. Within shipping, the biggest decline can be identified within international</w:t>
      </w:r>
      <w:r w:rsidR="00E4242C">
        <w:t xml:space="preserve"> freight transport </w:t>
      </w:r>
      <w:r w:rsidR="008E0052">
        <w:t xml:space="preserve">which decreased 80% from 2016 to 2017. International </w:t>
      </w:r>
      <w:r w:rsidR="00E4242C">
        <w:t>passenger transport (cruise and ferry)</w:t>
      </w:r>
      <w:r w:rsidR="008E0052">
        <w:t xml:space="preserve"> contributed the most to turnover within the shipping industry at £196 million, however, this is still a decline of 48% from the previous year. </w:t>
      </w:r>
      <w:r w:rsidR="001E63EE">
        <w:t xml:space="preserve">One reason for the decline in the shipping industry </w:t>
      </w:r>
      <w:r w:rsidR="000A265C">
        <w:t xml:space="preserve">could be due to </w:t>
      </w:r>
      <w:r w:rsidR="001E63EE">
        <w:t xml:space="preserve">shipping companies changing their flag registry and registered offices away from Wales. </w:t>
      </w:r>
    </w:p>
    <w:p w14:paraId="65BC3FC4" w14:textId="0F32A956" w:rsidR="00A613E8" w:rsidRPr="00C16080" w:rsidRDefault="008E0052" w:rsidP="00FA449A">
      <w:pPr>
        <w:spacing w:after="120"/>
      </w:pPr>
      <w:r>
        <w:t>While the figure above show a significant decline in turnover for 2</w:t>
      </w:r>
      <w:r w:rsidR="008B1B0F">
        <w:t>017 compared to previous years i</w:t>
      </w:r>
      <w:r w:rsidR="0057506A">
        <w:t>t is worthwhile</w:t>
      </w:r>
      <w:r>
        <w:t xml:space="preserve"> to take into consideration the volatility of regional BRES data, as such it’s important to study the overall trend rather than solely considering the </w:t>
      </w:r>
      <w:r w:rsidR="001E63EE">
        <w:t>levels for each year</w:t>
      </w:r>
      <w:r>
        <w:t xml:space="preserve">. From 2015 and onwards, there has been an overall negative trend in the turnover of the Welsh Maritime Sector. </w:t>
      </w:r>
      <w:r w:rsidR="001E63EE">
        <w:t xml:space="preserve">Additionally, the turnover for the Welsh Maritime Sector was exceptionally high in 2011 and 2012, creating a steeper </w:t>
      </w:r>
      <w:r w:rsidR="000A265C">
        <w:t xml:space="preserve">decline in turnover. </w:t>
      </w:r>
    </w:p>
    <w:p w14:paraId="79B2AD88" w14:textId="22BE3E11" w:rsidR="001009E4" w:rsidRDefault="00902210" w:rsidP="00FA449A">
      <w:pPr>
        <w:spacing w:after="120"/>
      </w:pPr>
      <w:r>
        <w:rPr>
          <w:rFonts w:ascii="Calibri" w:eastAsia="Microsoft JhengHei" w:hAnsi="Calibri"/>
          <w:szCs w:val="22"/>
        </w:rPr>
        <w:fldChar w:fldCharType="begin"/>
      </w:r>
      <w:r>
        <w:rPr>
          <w:rFonts w:ascii="Calibri" w:eastAsia="Microsoft JhengHei" w:hAnsi="Calibri"/>
          <w:szCs w:val="22"/>
        </w:rPr>
        <w:instrText xml:space="preserve"> REF _Ref16673806 \h </w:instrText>
      </w:r>
      <w:r>
        <w:rPr>
          <w:rFonts w:ascii="Calibri" w:eastAsia="Microsoft JhengHei" w:hAnsi="Calibri"/>
          <w:szCs w:val="22"/>
        </w:rPr>
      </w:r>
      <w:r>
        <w:rPr>
          <w:rFonts w:ascii="Calibri" w:eastAsia="Microsoft JhengHei" w:hAnsi="Calibri"/>
          <w:szCs w:val="22"/>
        </w:rPr>
        <w:fldChar w:fldCharType="separate"/>
      </w:r>
      <w:r>
        <w:t xml:space="preserve">Figure </w:t>
      </w:r>
      <w:r>
        <w:rPr>
          <w:noProof/>
        </w:rPr>
        <w:t>3</w:t>
      </w:r>
      <w:r>
        <w:rPr>
          <w:rFonts w:ascii="Calibri" w:eastAsia="Microsoft JhengHei" w:hAnsi="Calibri"/>
          <w:szCs w:val="22"/>
        </w:rPr>
        <w:fldChar w:fldCharType="end"/>
      </w:r>
      <w:r>
        <w:rPr>
          <w:rFonts w:ascii="Calibri" w:eastAsia="Microsoft JhengHei" w:hAnsi="Calibri"/>
          <w:szCs w:val="22"/>
        </w:rPr>
        <w:t xml:space="preserve"> </w:t>
      </w:r>
      <w:r w:rsidR="00F5602A">
        <w:rPr>
          <w:rFonts w:ascii="Calibri" w:eastAsia="Microsoft JhengHei" w:hAnsi="Calibri"/>
          <w:szCs w:val="22"/>
        </w:rPr>
        <w:t>illustrates</w:t>
      </w:r>
      <w:r w:rsidR="00C94329">
        <w:rPr>
          <w:rFonts w:ascii="Calibri" w:eastAsia="Microsoft JhengHei" w:hAnsi="Calibri"/>
          <w:szCs w:val="22"/>
        </w:rPr>
        <w:t xml:space="preserve"> for each year</w:t>
      </w:r>
      <w:r w:rsidR="00F5602A">
        <w:rPr>
          <w:rFonts w:ascii="Calibri" w:eastAsia="Microsoft JhengHei" w:hAnsi="Calibri"/>
          <w:szCs w:val="22"/>
        </w:rPr>
        <w:t xml:space="preserve"> how each industry within the W</w:t>
      </w:r>
      <w:r w:rsidR="00EF3B61">
        <w:rPr>
          <w:rFonts w:ascii="Calibri" w:eastAsia="Microsoft JhengHei" w:hAnsi="Calibri"/>
          <w:szCs w:val="22"/>
        </w:rPr>
        <w:t xml:space="preserve">elsh </w:t>
      </w:r>
      <w:r w:rsidR="00654BBE">
        <w:rPr>
          <w:rFonts w:ascii="Calibri" w:eastAsia="Microsoft JhengHei" w:hAnsi="Calibri"/>
          <w:szCs w:val="22"/>
        </w:rPr>
        <w:t>Maritime Sector</w:t>
      </w:r>
      <w:r w:rsidR="00EF3B61">
        <w:rPr>
          <w:rFonts w:ascii="Calibri" w:eastAsia="Microsoft JhengHei" w:hAnsi="Calibri"/>
          <w:szCs w:val="22"/>
        </w:rPr>
        <w:t xml:space="preserve"> contributed</w:t>
      </w:r>
      <w:r w:rsidR="00F5602A">
        <w:rPr>
          <w:rFonts w:ascii="Calibri" w:eastAsia="Microsoft JhengHei" w:hAnsi="Calibri"/>
          <w:szCs w:val="22"/>
        </w:rPr>
        <w:t xml:space="preserve"> to the direct turnover impact.</w:t>
      </w:r>
      <w:r w:rsidR="00F5602A">
        <w:t xml:space="preserve"> I</w:t>
      </w:r>
      <w:r w:rsidR="00221F8D">
        <w:t>n 201</w:t>
      </w:r>
      <w:r w:rsidR="001009E4">
        <w:t>7</w:t>
      </w:r>
      <w:r w:rsidR="00221F8D">
        <w:t xml:space="preserve"> </w:t>
      </w:r>
      <w:r w:rsidR="001009E4">
        <w:t>s</w:t>
      </w:r>
      <w:r w:rsidR="0079635D">
        <w:t>hippin</w:t>
      </w:r>
      <w:r w:rsidR="001009E4">
        <w:t>g accounted for approximately 50</w:t>
      </w:r>
      <w:r w:rsidR="0079635D">
        <w:t xml:space="preserve">% of the </w:t>
      </w:r>
      <w:r w:rsidR="00166C0A">
        <w:t>contribution;</w:t>
      </w:r>
      <w:r w:rsidR="0079635D">
        <w:t xml:space="preserve"> follo</w:t>
      </w:r>
      <w:r w:rsidR="00E6105E">
        <w:t xml:space="preserve">wed by the </w:t>
      </w:r>
      <w:r w:rsidR="001009E4">
        <w:t>marine engineering</w:t>
      </w:r>
      <w:r w:rsidR="00C94329">
        <w:t xml:space="preserve"> and scientific</w:t>
      </w:r>
      <w:r w:rsidR="001009E4">
        <w:t xml:space="preserve"> industry at 27%. T</w:t>
      </w:r>
      <w:r w:rsidR="00C94329">
        <w:t>he p</w:t>
      </w:r>
      <w:r w:rsidR="00E6105E">
        <w:t xml:space="preserve">orts industry </w:t>
      </w:r>
      <w:r w:rsidR="001009E4">
        <w:t>contributed approximately 14% of the total turnover contributions in 2017. This</w:t>
      </w:r>
      <w:r>
        <w:t xml:space="preserve"> proportion has risen</w:t>
      </w:r>
      <w:r w:rsidR="001009E4">
        <w:t xml:space="preserve"> since 2016 (where ports contributed around 8% of total turnover)</w:t>
      </w:r>
      <w:r>
        <w:t xml:space="preserve"> </w:t>
      </w:r>
      <w:r w:rsidR="00E4242C">
        <w:t>offset by a</w:t>
      </w:r>
      <w:r>
        <w:t xml:space="preserve"> significant decline in the shipping industry</w:t>
      </w:r>
      <w:r w:rsidR="001009E4">
        <w:t xml:space="preserve">. The leisure marine and maritime business services industries contributed the least to total turnover in Wales, approximately 6% and 2% respectively.  </w:t>
      </w:r>
    </w:p>
    <w:p w14:paraId="5155C138" w14:textId="61E27089" w:rsidR="00D4364A" w:rsidRDefault="0079635D" w:rsidP="00FA449A">
      <w:pPr>
        <w:spacing w:after="120"/>
      </w:pPr>
      <w:r>
        <w:t xml:space="preserve">This </w:t>
      </w:r>
      <w:r>
        <w:rPr>
          <w:i/>
        </w:rPr>
        <w:t>ordering</w:t>
      </w:r>
      <w:r>
        <w:t xml:space="preserve"> of contribution</w:t>
      </w:r>
      <w:r w:rsidR="00166C0A">
        <w:t>s</w:t>
      </w:r>
      <w:r>
        <w:t xml:space="preserve"> is </w:t>
      </w:r>
      <w:r w:rsidR="00E6105E">
        <w:t xml:space="preserve">largely </w:t>
      </w:r>
      <w:r>
        <w:t>consistent across each of the years considered (though the number</w:t>
      </w:r>
      <w:r w:rsidR="00981E75">
        <w:t>s</w:t>
      </w:r>
      <w:r>
        <w:t xml:space="preserve"> of course change).</w:t>
      </w:r>
    </w:p>
    <w:p w14:paraId="0554BA9E" w14:textId="6C949B7A" w:rsidR="00D4364A" w:rsidRDefault="00D4364A" w:rsidP="00D4364A">
      <w:pPr>
        <w:pStyle w:val="Caption"/>
      </w:pPr>
      <w:bookmarkStart w:id="39" w:name="_Ref16673806"/>
      <w:r>
        <w:rPr>
          <w:noProof/>
          <w:lang w:eastAsia="en-GB"/>
        </w:rPr>
        <w:drawing>
          <wp:anchor distT="0" distB="0" distL="114300" distR="114300" simplePos="0" relativeHeight="251659264" behindDoc="0" locked="0" layoutInCell="1" allowOverlap="1" wp14:anchorId="084E03E3" wp14:editId="36A6E58E">
            <wp:simplePos x="0" y="0"/>
            <wp:positionH relativeFrom="margin">
              <wp:align>center</wp:align>
            </wp:positionH>
            <wp:positionV relativeFrom="paragraph">
              <wp:posOffset>278406</wp:posOffset>
            </wp:positionV>
            <wp:extent cx="5760000" cy="2880000"/>
            <wp:effectExtent l="0" t="0" r="0" b="0"/>
            <wp:wrapTopAndBottom/>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r>
        <w:t xml:space="preserve">Figure </w:t>
      </w:r>
      <w:r w:rsidR="00B21843">
        <w:rPr>
          <w:noProof/>
        </w:rPr>
        <w:fldChar w:fldCharType="begin"/>
      </w:r>
      <w:r w:rsidR="00B21843">
        <w:rPr>
          <w:noProof/>
        </w:rPr>
        <w:instrText xml:space="preserve"> SEQ Figure \* ARABIC </w:instrText>
      </w:r>
      <w:r w:rsidR="00B21843">
        <w:rPr>
          <w:noProof/>
        </w:rPr>
        <w:fldChar w:fldCharType="separate"/>
      </w:r>
      <w:r w:rsidR="00963862">
        <w:rPr>
          <w:noProof/>
        </w:rPr>
        <w:t>3</w:t>
      </w:r>
      <w:r w:rsidR="00B21843">
        <w:rPr>
          <w:noProof/>
        </w:rPr>
        <w:fldChar w:fldCharType="end"/>
      </w:r>
      <w:bookmarkEnd w:id="39"/>
      <w:r>
        <w:t>: Contributions to turnover made by each constitu</w:t>
      </w:r>
      <w:r w:rsidR="00CD65E7">
        <w:t>ent maritime industry, 2010 to 2017</w:t>
      </w:r>
    </w:p>
    <w:p w14:paraId="6EEE982E" w14:textId="5C005F1F" w:rsidR="00D4364A" w:rsidRPr="00E851E8" w:rsidRDefault="00D4364A" w:rsidP="00D4364A">
      <w:pPr>
        <w:spacing w:before="60" w:after="120"/>
        <w:jc w:val="right"/>
        <w:rPr>
          <w:i/>
          <w:sz w:val="18"/>
        </w:rPr>
      </w:pPr>
      <w:r>
        <w:rPr>
          <w:i/>
          <w:sz w:val="18"/>
        </w:rPr>
        <w:t xml:space="preserve">Source: FAME, </w:t>
      </w:r>
      <w:r w:rsidRPr="00E851E8">
        <w:rPr>
          <w:i/>
          <w:sz w:val="18"/>
        </w:rPr>
        <w:t>ONS, Cebr analysis</w:t>
      </w:r>
    </w:p>
    <w:p w14:paraId="3921FBE6" w14:textId="54ED2305" w:rsidR="00972C7F" w:rsidRDefault="00972C7F" w:rsidP="00FA449A">
      <w:pPr>
        <w:spacing w:after="120"/>
      </w:pPr>
    </w:p>
    <w:p w14:paraId="71453A46" w14:textId="110AE8E5" w:rsidR="00E61FBA" w:rsidRDefault="00916197" w:rsidP="00FA449A">
      <w:pPr>
        <w:spacing w:after="120"/>
      </w:pPr>
      <w:r>
        <w:t xml:space="preserve">To place the Welsh </w:t>
      </w:r>
      <w:r w:rsidR="00654BBE">
        <w:t>Maritime Sector</w:t>
      </w:r>
      <w:r w:rsidR="00E61FBA">
        <w:t xml:space="preserve">’s direct contribution through turnover in context, </w:t>
      </w:r>
      <w:r w:rsidR="009F7D39">
        <w:fldChar w:fldCharType="begin"/>
      </w:r>
      <w:r w:rsidR="009F7D39">
        <w:instrText xml:space="preserve"> REF _Ref490229362 \h </w:instrText>
      </w:r>
      <w:r w:rsidR="009F7D39">
        <w:fldChar w:fldCharType="separate"/>
      </w:r>
      <w:r w:rsidR="00963862">
        <w:t xml:space="preserve">Figure </w:t>
      </w:r>
      <w:r w:rsidR="00963862">
        <w:rPr>
          <w:noProof/>
        </w:rPr>
        <w:t>4</w:t>
      </w:r>
      <w:r w:rsidR="009F7D39">
        <w:fldChar w:fldCharType="end"/>
      </w:r>
      <w:r w:rsidR="00E61FBA">
        <w:t xml:space="preserve"> below compares the d</w:t>
      </w:r>
      <w:r>
        <w:t xml:space="preserve">irect turnover of the </w:t>
      </w:r>
      <w:r w:rsidR="00654BBE">
        <w:t>Maritime Sector</w:t>
      </w:r>
      <w:r w:rsidR="00E61FBA">
        <w:t xml:space="preserve"> in 201</w:t>
      </w:r>
      <w:r>
        <w:t xml:space="preserve">7 with other Welsh industries. It also compares the growth rates of these industries over the period 2010-17. </w:t>
      </w:r>
      <w:r w:rsidR="00E61FBA">
        <w:t xml:space="preserve">Turnover data for the </w:t>
      </w:r>
      <w:r>
        <w:t>other</w:t>
      </w:r>
      <w:r w:rsidR="00E61FBA">
        <w:t xml:space="preserve"> industries has been sourced from the Annual Business Survey (ABS)</w:t>
      </w:r>
      <w:r>
        <w:t xml:space="preserve">. </w:t>
      </w:r>
    </w:p>
    <w:p w14:paraId="6AF85334" w14:textId="006842BB" w:rsidR="00DB0FC0" w:rsidRDefault="00DB0FC0" w:rsidP="00DB0FC0">
      <w:pPr>
        <w:pStyle w:val="Caption"/>
        <w:keepNext/>
      </w:pPr>
      <w:bookmarkStart w:id="40" w:name="_Ref490229362"/>
      <w:r>
        <w:lastRenderedPageBreak/>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4</w:t>
      </w:r>
      <w:r w:rsidR="00A420C1">
        <w:rPr>
          <w:noProof/>
        </w:rPr>
        <w:fldChar w:fldCharType="end"/>
      </w:r>
      <w:bookmarkEnd w:id="40"/>
      <w:r>
        <w:t xml:space="preserve">: </w:t>
      </w:r>
      <w:r w:rsidRPr="00145131">
        <w:t>The direct contribution through turnover of the</w:t>
      </w:r>
      <w:r w:rsidR="00C94329">
        <w:t xml:space="preserve"> </w:t>
      </w:r>
      <w:r w:rsidR="00654BBE">
        <w:t>Maritime Sector</w:t>
      </w:r>
      <w:r w:rsidRPr="00145131">
        <w:t xml:space="preserve"> in Wales against comparable Wels</w:t>
      </w:r>
      <w:r w:rsidR="00916197">
        <w:t>h sectors in 2017</w:t>
      </w:r>
    </w:p>
    <w:p w14:paraId="2DE9E11E" w14:textId="5D8FF836" w:rsidR="00DB0FC0" w:rsidRDefault="00916197" w:rsidP="00E6105E">
      <w:r>
        <w:rPr>
          <w:noProof/>
          <w:lang w:eastAsia="en-GB"/>
        </w:rPr>
        <w:drawing>
          <wp:anchor distT="0" distB="0" distL="114300" distR="114300" simplePos="0" relativeHeight="251670528" behindDoc="0" locked="0" layoutInCell="1" allowOverlap="1" wp14:anchorId="6CC78E00" wp14:editId="209F86C2">
            <wp:simplePos x="0" y="0"/>
            <wp:positionH relativeFrom="margin">
              <wp:align>center</wp:align>
            </wp:positionH>
            <wp:positionV relativeFrom="paragraph">
              <wp:posOffset>-2438</wp:posOffset>
            </wp:positionV>
            <wp:extent cx="5760000" cy="2880000"/>
            <wp:effectExtent l="0" t="0" r="0" b="0"/>
            <wp:wrapTopAndBottom/>
            <wp:docPr id="59" name="Chart 5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14:paraId="541D3245" w14:textId="5CDBA491" w:rsidR="00E61FBA" w:rsidRPr="00E61FBA" w:rsidRDefault="00E61FBA" w:rsidP="00E61FBA">
      <w:pPr>
        <w:keepNext/>
        <w:spacing w:after="120"/>
        <w:jc w:val="right"/>
        <w:rPr>
          <w:sz w:val="18"/>
          <w:szCs w:val="18"/>
        </w:rPr>
      </w:pPr>
      <w:r>
        <w:rPr>
          <w:i/>
          <w:sz w:val="18"/>
          <w:szCs w:val="18"/>
        </w:rPr>
        <w:t>Source: ONS, FAME, Cebr analysis</w:t>
      </w:r>
    </w:p>
    <w:p w14:paraId="1AA2F935" w14:textId="747F6DDF" w:rsidR="001A58C9" w:rsidRDefault="001A58C9" w:rsidP="001A58C9">
      <w:pPr>
        <w:pStyle w:val="Heading2"/>
      </w:pPr>
      <w:bookmarkStart w:id="41" w:name="_Toc488396653"/>
      <w:bookmarkStart w:id="42" w:name="_Toc18076340"/>
      <w:r>
        <w:t>The direct impact through GVA</w:t>
      </w:r>
      <w:bookmarkEnd w:id="41"/>
      <w:bookmarkEnd w:id="42"/>
    </w:p>
    <w:p w14:paraId="07853FF2" w14:textId="7FF852C1" w:rsidR="001A58C9" w:rsidRDefault="001A58C9" w:rsidP="001A58C9">
      <w:pPr>
        <w:spacing w:after="120"/>
      </w:pPr>
      <w:r>
        <w:t xml:space="preserve">Following </w:t>
      </w:r>
      <w:r w:rsidR="00C94329">
        <w:t>turnover</w:t>
      </w:r>
      <w:r>
        <w:t>, this subsection illustrates the contributions in term</w:t>
      </w:r>
      <w:r w:rsidR="00C94329">
        <w:t xml:space="preserve">s of the GVA from the </w:t>
      </w:r>
      <w:r w:rsidR="00654BBE">
        <w:t>Maritime Sector</w:t>
      </w:r>
      <w:r>
        <w:t xml:space="preserve"> in Wales to Welsh and UK GDP.</w:t>
      </w:r>
      <w:r w:rsidRPr="00B80CD1">
        <w:t xml:space="preserve"> </w:t>
      </w:r>
      <w:r>
        <w:t xml:space="preserve"> </w:t>
      </w:r>
      <w:r w:rsidR="00221F8D">
        <w:fldChar w:fldCharType="begin"/>
      </w:r>
      <w:r w:rsidR="00221F8D">
        <w:instrText xml:space="preserve"> REF _Ref490041880 \h </w:instrText>
      </w:r>
      <w:r w:rsidR="00221F8D">
        <w:fldChar w:fldCharType="separate"/>
      </w:r>
      <w:r w:rsidR="00963862">
        <w:t xml:space="preserve">Figure </w:t>
      </w:r>
      <w:r w:rsidR="00963862">
        <w:rPr>
          <w:noProof/>
        </w:rPr>
        <w:t>5</w:t>
      </w:r>
      <w:r w:rsidR="00221F8D">
        <w:fldChar w:fldCharType="end"/>
      </w:r>
      <w:r w:rsidR="00221F8D">
        <w:t xml:space="preserve"> </w:t>
      </w:r>
      <w:r>
        <w:t>below shows the direct GV</w:t>
      </w:r>
      <w:r w:rsidR="00C94329">
        <w:t xml:space="preserve">A contribution of the </w:t>
      </w:r>
      <w:r w:rsidR="00654BBE">
        <w:t>Maritime Sector</w:t>
      </w:r>
      <w:r>
        <w:t xml:space="preserve"> in Wales, both in levels</w:t>
      </w:r>
      <w:r w:rsidR="00C94329">
        <w:t xml:space="preserve"> and as a percentage of the UK </w:t>
      </w:r>
      <w:r w:rsidR="00654BBE">
        <w:t>Maritime Sector</w:t>
      </w:r>
      <w:r>
        <w:t>, for years 2010 to 201</w:t>
      </w:r>
      <w:r w:rsidR="001009E4">
        <w:t>7</w:t>
      </w:r>
      <w:r>
        <w:t>. The direct contributions</w:t>
      </w:r>
      <w:r w:rsidR="00386B1E">
        <w:t xml:space="preserve"> are disaggregated by industry.</w:t>
      </w:r>
    </w:p>
    <w:p w14:paraId="6CC3C8F1" w14:textId="4142C3F8" w:rsidR="001A58C9" w:rsidRDefault="001A58C9" w:rsidP="001A58C9">
      <w:pPr>
        <w:pStyle w:val="Caption"/>
        <w:keepNext/>
      </w:pPr>
      <w:bookmarkStart w:id="43" w:name="_Ref490041880"/>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5</w:t>
      </w:r>
      <w:r w:rsidR="00A420C1">
        <w:rPr>
          <w:noProof/>
        </w:rPr>
        <w:fldChar w:fldCharType="end"/>
      </w:r>
      <w:bookmarkEnd w:id="43"/>
      <w:r>
        <w:t xml:space="preserve">. </w:t>
      </w:r>
      <w:r w:rsidRPr="007179B5">
        <w:t>The direct contribution of</w:t>
      </w:r>
      <w:r w:rsidR="00C94329">
        <w:t xml:space="preserve"> the </w:t>
      </w:r>
      <w:r w:rsidR="00654BBE">
        <w:t>Maritime Sector</w:t>
      </w:r>
      <w:r>
        <w:t xml:space="preserve"> in Wales</w:t>
      </w:r>
      <w:r w:rsidRPr="007179B5">
        <w:t xml:space="preserve"> through GVA, and the </w:t>
      </w:r>
      <w:r w:rsidR="000B1F8A">
        <w:t>Wales</w:t>
      </w:r>
      <w:r w:rsidR="00C94329">
        <w:t xml:space="preserve">’s share of the </w:t>
      </w:r>
      <w:r w:rsidR="00654BBE">
        <w:t>Maritime Sector</w:t>
      </w:r>
      <w:r w:rsidRPr="007179B5">
        <w:t>’s total direct contribution through GVA</w:t>
      </w:r>
      <w:r w:rsidR="00CD65E7">
        <w:t>, 2010 to 2017</w:t>
      </w:r>
    </w:p>
    <w:p w14:paraId="1CAF5A91" w14:textId="118AA8BD" w:rsidR="001009E4" w:rsidRPr="001009E4" w:rsidRDefault="001009E4" w:rsidP="001009E4">
      <w:r>
        <w:rPr>
          <w:noProof/>
          <w:lang w:eastAsia="en-GB"/>
        </w:rPr>
        <w:drawing>
          <wp:inline distT="0" distB="0" distL="0" distR="0" wp14:anchorId="0F780F43" wp14:editId="07930531">
            <wp:extent cx="5976620" cy="3122762"/>
            <wp:effectExtent l="0" t="0" r="5080" b="1905"/>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552FF45" w14:textId="67D58AFE" w:rsidR="00E6105E" w:rsidRDefault="00E6105E" w:rsidP="00386B1E">
      <w:pPr>
        <w:jc w:val="right"/>
      </w:pPr>
      <w:r>
        <w:rPr>
          <w:i/>
          <w:sz w:val="18"/>
          <w:szCs w:val="18"/>
        </w:rPr>
        <w:t>Source: ONS, FAME, Cebr analysis</w:t>
      </w:r>
    </w:p>
    <w:p w14:paraId="388CF045" w14:textId="666F55EB" w:rsidR="00221F8D" w:rsidRDefault="001A58C9" w:rsidP="00221F8D">
      <w:pPr>
        <w:spacing w:after="120"/>
      </w:pPr>
      <w:r>
        <w:lastRenderedPageBreak/>
        <w:t>In 201</w:t>
      </w:r>
      <w:r w:rsidR="00D4364A">
        <w:t>7</w:t>
      </w:r>
      <w:r>
        <w:t xml:space="preserve"> the direct GVA contribution of the </w:t>
      </w:r>
      <w:r w:rsidR="00654BBE">
        <w:t>Maritime Sector</w:t>
      </w:r>
      <w:r w:rsidR="001E6968">
        <w:t xml:space="preserve"> in Wales was £</w:t>
      </w:r>
      <w:r w:rsidR="00D4364A">
        <w:t>256</w:t>
      </w:r>
      <w:r w:rsidR="00CD493D">
        <w:t xml:space="preserve"> million: this represented</w:t>
      </w:r>
      <w:r>
        <w:t xml:space="preserve"> </w:t>
      </w:r>
      <w:r w:rsidR="00D4364A">
        <w:t>1.5</w:t>
      </w:r>
      <w:r w:rsidR="0098492E">
        <w:t xml:space="preserve">% of the UK </w:t>
      </w:r>
      <w:r w:rsidR="00654BBE">
        <w:t>Maritime Sector</w:t>
      </w:r>
      <w:r>
        <w:t xml:space="preserve"> contribution as a whole.</w:t>
      </w:r>
      <w:r w:rsidR="00221F8D">
        <w:t xml:space="preserve"> </w:t>
      </w:r>
      <w:r w:rsidR="00DE1904">
        <w:t>Similarly to the case of turnover</w:t>
      </w:r>
      <w:r w:rsidR="00A613E8" w:rsidRPr="00A613E8">
        <w:t xml:space="preserve">, the most significant decline occurred between 2016 and 2017, where GVA contributions of the Welsh </w:t>
      </w:r>
      <w:r w:rsidR="00654BBE">
        <w:t>Maritime Sector</w:t>
      </w:r>
      <w:r w:rsidR="00A613E8" w:rsidRPr="00A613E8">
        <w:t xml:space="preserve"> decline</w:t>
      </w:r>
      <w:r w:rsidR="00C94329">
        <w:t>d</w:t>
      </w:r>
      <w:r w:rsidR="00A613E8" w:rsidRPr="00A613E8">
        <w:t xml:space="preserve"> by approximately 40%.</w:t>
      </w:r>
    </w:p>
    <w:p w14:paraId="7A8F0DEC" w14:textId="39BA74D2" w:rsidR="00A613E8" w:rsidRDefault="00A613E8" w:rsidP="00221F8D">
      <w:pPr>
        <w:spacing w:after="120"/>
      </w:pPr>
      <w:r w:rsidRPr="00097979">
        <w:t xml:space="preserve">Comparing UK and Wales GVA across all industries can help to add some context to this decline. </w:t>
      </w:r>
      <w:r w:rsidR="0029145E" w:rsidRPr="00097979">
        <w:fldChar w:fldCharType="begin"/>
      </w:r>
      <w:r w:rsidR="0029145E" w:rsidRPr="00097979">
        <w:instrText xml:space="preserve"> REF _Ref16777804 \h </w:instrText>
      </w:r>
      <w:r w:rsidR="00100D25" w:rsidRPr="00097979">
        <w:instrText xml:space="preserve"> \* MERGEFORMAT </w:instrText>
      </w:r>
      <w:r w:rsidR="0029145E" w:rsidRPr="00097979">
        <w:fldChar w:fldCharType="separate"/>
      </w:r>
      <w:r w:rsidR="00963862" w:rsidRPr="00097979">
        <w:t xml:space="preserve">Figure </w:t>
      </w:r>
      <w:r w:rsidR="00963862" w:rsidRPr="00097979">
        <w:rPr>
          <w:noProof/>
        </w:rPr>
        <w:t>6</w:t>
      </w:r>
      <w:r w:rsidR="0029145E" w:rsidRPr="00097979">
        <w:fldChar w:fldCharType="end"/>
      </w:r>
      <w:r w:rsidR="0029145E" w:rsidRPr="00097979">
        <w:t xml:space="preserve"> </w:t>
      </w:r>
      <w:r w:rsidRPr="00097979">
        <w:t>below illustrates their respective growth trajectories.</w:t>
      </w:r>
      <w:r w:rsidR="007C1910">
        <w:t xml:space="preserve"> </w:t>
      </w:r>
    </w:p>
    <w:p w14:paraId="1CAD0299" w14:textId="796F6356" w:rsidR="00A613E8" w:rsidRPr="004648CD" w:rsidRDefault="00A613E8" w:rsidP="00A613E8">
      <w:pPr>
        <w:pStyle w:val="Caption"/>
        <w:rPr>
          <w:b/>
          <w:color w:val="FF0000"/>
        </w:rPr>
      </w:pPr>
      <w:bookmarkStart w:id="44" w:name="_Ref16777804"/>
      <w:r>
        <w:t xml:space="preserve">Figure </w:t>
      </w:r>
      <w:r w:rsidR="009E06DF">
        <w:rPr>
          <w:noProof/>
        </w:rPr>
        <w:fldChar w:fldCharType="begin"/>
      </w:r>
      <w:r w:rsidR="009E06DF">
        <w:rPr>
          <w:noProof/>
        </w:rPr>
        <w:instrText xml:space="preserve"> SEQ Figure \* ARABIC </w:instrText>
      </w:r>
      <w:r w:rsidR="009E06DF">
        <w:rPr>
          <w:noProof/>
        </w:rPr>
        <w:fldChar w:fldCharType="separate"/>
      </w:r>
      <w:r w:rsidR="00963862">
        <w:rPr>
          <w:noProof/>
        </w:rPr>
        <w:t>6</w:t>
      </w:r>
      <w:r w:rsidR="009E06DF">
        <w:rPr>
          <w:noProof/>
        </w:rPr>
        <w:fldChar w:fldCharType="end"/>
      </w:r>
      <w:bookmarkEnd w:id="44"/>
      <w:r>
        <w:t>: GVA in Wales a</w:t>
      </w:r>
      <w:r w:rsidR="00CD65E7">
        <w:t>nd UK (excl. Wales), 1998 to 2017</w:t>
      </w:r>
      <w:r>
        <w:rPr>
          <w:noProof/>
          <w:lang w:eastAsia="en-GB"/>
        </w:rPr>
        <w:drawing>
          <wp:anchor distT="0" distB="0" distL="114300" distR="114300" simplePos="0" relativeHeight="251663360" behindDoc="0" locked="0" layoutInCell="1" allowOverlap="1" wp14:anchorId="4B1C1876" wp14:editId="2D014AFB">
            <wp:simplePos x="0" y="0"/>
            <wp:positionH relativeFrom="margin">
              <wp:align>center</wp:align>
            </wp:positionH>
            <wp:positionV relativeFrom="paragraph">
              <wp:posOffset>265814</wp:posOffset>
            </wp:positionV>
            <wp:extent cx="5760000" cy="2880000"/>
            <wp:effectExtent l="0" t="0" r="0" b="0"/>
            <wp:wrapTopAndBottom/>
            <wp:docPr id="16" name="Chart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page">
              <wp14:pctWidth>0</wp14:pctWidth>
            </wp14:sizeRelH>
            <wp14:sizeRelV relativeFrom="page">
              <wp14:pctHeight>0</wp14:pctHeight>
            </wp14:sizeRelV>
          </wp:anchor>
        </w:drawing>
      </w:r>
    </w:p>
    <w:p w14:paraId="498C086B" w14:textId="24F8E22E" w:rsidR="00A613E8" w:rsidRPr="00A613E8" w:rsidRDefault="00A613E8" w:rsidP="00A613E8">
      <w:pPr>
        <w:jc w:val="right"/>
      </w:pPr>
      <w:r>
        <w:rPr>
          <w:i/>
          <w:sz w:val="18"/>
          <w:szCs w:val="18"/>
        </w:rPr>
        <w:t>Source: ONS, Cebr analysis</w:t>
      </w:r>
    </w:p>
    <w:p w14:paraId="4F3C0FC2" w14:textId="502E1E0D" w:rsidR="00897D79" w:rsidRDefault="007C1910" w:rsidP="00FA449A">
      <w:pPr>
        <w:spacing w:after="120"/>
        <w:rPr>
          <w:rFonts w:ascii="Calibri" w:eastAsia="Microsoft JhengHei" w:hAnsi="Calibri"/>
          <w:szCs w:val="22"/>
        </w:rPr>
      </w:pPr>
      <w:r>
        <w:rPr>
          <w:rFonts w:ascii="Calibri" w:eastAsia="Microsoft JhengHei" w:hAnsi="Calibri"/>
          <w:szCs w:val="22"/>
        </w:rPr>
        <w:t xml:space="preserve">Generally, the growth of Welsh GVA has lagged behind that of the rest of the UK since 1998. The gap has become more pronounced in later years. In the period 1998-2017, the Welsh economy </w:t>
      </w:r>
      <w:r w:rsidR="008B3A2F">
        <w:rPr>
          <w:rFonts w:ascii="Calibri" w:eastAsia="Microsoft JhengHei" w:hAnsi="Calibri"/>
          <w:szCs w:val="22"/>
        </w:rPr>
        <w:t>grew by 36%, in comparison to 43% for the rest of the UK. Given this slow</w:t>
      </w:r>
      <w:r w:rsidR="0029145E">
        <w:rPr>
          <w:rFonts w:ascii="Calibri" w:eastAsia="Microsoft JhengHei" w:hAnsi="Calibri"/>
          <w:szCs w:val="22"/>
        </w:rPr>
        <w:t xml:space="preserve">er growth in Wales, it is perhaps unsurprising that the Welsh </w:t>
      </w:r>
      <w:r w:rsidR="00654BBE">
        <w:rPr>
          <w:rFonts w:ascii="Calibri" w:eastAsia="Microsoft JhengHei" w:hAnsi="Calibri"/>
          <w:szCs w:val="22"/>
        </w:rPr>
        <w:t>Maritime Sector</w:t>
      </w:r>
      <w:r w:rsidR="0029145E">
        <w:rPr>
          <w:rFonts w:ascii="Calibri" w:eastAsia="Microsoft JhengHei" w:hAnsi="Calibri"/>
          <w:szCs w:val="22"/>
        </w:rPr>
        <w:t xml:space="preserve"> has performed worse compared to the UK </w:t>
      </w:r>
      <w:r w:rsidR="00654BBE">
        <w:rPr>
          <w:rFonts w:ascii="Calibri" w:eastAsia="Microsoft JhengHei" w:hAnsi="Calibri"/>
          <w:szCs w:val="22"/>
        </w:rPr>
        <w:t>Maritime Sector</w:t>
      </w:r>
      <w:r w:rsidR="0029145E">
        <w:rPr>
          <w:rFonts w:ascii="Calibri" w:eastAsia="Microsoft JhengHei" w:hAnsi="Calibri"/>
          <w:szCs w:val="22"/>
        </w:rPr>
        <w:t xml:space="preserve"> more broadly. </w:t>
      </w:r>
      <w:r w:rsidR="005E4CB2">
        <w:rPr>
          <w:rFonts w:ascii="Calibri" w:eastAsia="Microsoft JhengHei" w:hAnsi="Calibri"/>
          <w:szCs w:val="22"/>
        </w:rPr>
        <w:t>However, t</w:t>
      </w:r>
      <w:r w:rsidR="0029145E">
        <w:rPr>
          <w:rFonts w:ascii="Calibri" w:eastAsia="Microsoft JhengHei" w:hAnsi="Calibri"/>
          <w:szCs w:val="22"/>
        </w:rPr>
        <w:t>he decline in the contributions</w:t>
      </w:r>
      <w:r w:rsidR="005E4CB2">
        <w:rPr>
          <w:rFonts w:ascii="Calibri" w:eastAsia="Microsoft JhengHei" w:hAnsi="Calibri"/>
          <w:szCs w:val="22"/>
        </w:rPr>
        <w:t xml:space="preserve"> made by the Welsh </w:t>
      </w:r>
      <w:r w:rsidR="00654BBE">
        <w:rPr>
          <w:rFonts w:ascii="Calibri" w:eastAsia="Microsoft JhengHei" w:hAnsi="Calibri"/>
          <w:szCs w:val="22"/>
        </w:rPr>
        <w:t>Maritime Sector</w:t>
      </w:r>
      <w:r w:rsidR="0029145E">
        <w:rPr>
          <w:rFonts w:ascii="Calibri" w:eastAsia="Microsoft JhengHei" w:hAnsi="Calibri"/>
          <w:szCs w:val="22"/>
        </w:rPr>
        <w:t xml:space="preserve"> is still somewhat surprising given the relatively stable growth exhibited by the Welsh economy since 2010.</w:t>
      </w:r>
      <w:r w:rsidR="00981D79">
        <w:rPr>
          <w:rFonts w:ascii="Calibri" w:eastAsia="Microsoft JhengHei" w:hAnsi="Calibri"/>
          <w:szCs w:val="22"/>
        </w:rPr>
        <w:t xml:space="preserve"> </w:t>
      </w:r>
    </w:p>
    <w:p w14:paraId="53778092" w14:textId="05903FB1" w:rsidR="004648CD" w:rsidRDefault="0098492E" w:rsidP="00FA449A">
      <w:pPr>
        <w:spacing w:after="120"/>
      </w:pPr>
      <w:r>
        <w:rPr>
          <w:rFonts w:ascii="Calibri" w:eastAsia="Microsoft JhengHei" w:hAnsi="Calibri"/>
          <w:szCs w:val="22"/>
        </w:rPr>
        <w:fldChar w:fldCharType="begin"/>
      </w:r>
      <w:r>
        <w:rPr>
          <w:rFonts w:ascii="Calibri" w:eastAsia="Microsoft JhengHei" w:hAnsi="Calibri"/>
          <w:szCs w:val="22"/>
        </w:rPr>
        <w:instrText xml:space="preserve"> REF _Ref16847568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7</w:t>
      </w:r>
      <w:r>
        <w:rPr>
          <w:rFonts w:ascii="Calibri" w:eastAsia="Microsoft JhengHei" w:hAnsi="Calibri"/>
          <w:szCs w:val="22"/>
        </w:rPr>
        <w:fldChar w:fldCharType="end"/>
      </w:r>
      <w:r>
        <w:rPr>
          <w:rFonts w:ascii="Calibri" w:eastAsia="Microsoft JhengHei" w:hAnsi="Calibri"/>
          <w:szCs w:val="22"/>
        </w:rPr>
        <w:t xml:space="preserve"> below</w:t>
      </w:r>
      <w:r w:rsidR="00F5602A">
        <w:rPr>
          <w:rFonts w:ascii="Calibri" w:eastAsia="Microsoft JhengHei" w:hAnsi="Calibri"/>
          <w:szCs w:val="22"/>
        </w:rPr>
        <w:t xml:space="preserve"> illustrates how</w:t>
      </w:r>
      <w:r w:rsidR="00CE4543">
        <w:rPr>
          <w:rFonts w:ascii="Calibri" w:eastAsia="Microsoft JhengHei" w:hAnsi="Calibri"/>
          <w:szCs w:val="22"/>
        </w:rPr>
        <w:t xml:space="preserve"> much</w:t>
      </w:r>
      <w:r w:rsidR="00F5602A">
        <w:rPr>
          <w:rFonts w:ascii="Calibri" w:eastAsia="Microsoft JhengHei" w:hAnsi="Calibri"/>
          <w:szCs w:val="22"/>
        </w:rPr>
        <w:t xml:space="preserve"> each industry within the Welsh </w:t>
      </w:r>
      <w:r w:rsidR="00654BBE">
        <w:rPr>
          <w:rFonts w:ascii="Calibri" w:eastAsia="Microsoft JhengHei" w:hAnsi="Calibri"/>
          <w:szCs w:val="22"/>
        </w:rPr>
        <w:t>Maritime Sector</w:t>
      </w:r>
      <w:r w:rsidR="00F5602A">
        <w:rPr>
          <w:rFonts w:ascii="Calibri" w:eastAsia="Microsoft JhengHei" w:hAnsi="Calibri"/>
          <w:szCs w:val="22"/>
        </w:rPr>
        <w:t xml:space="preserve"> contribute</w:t>
      </w:r>
      <w:r w:rsidR="00EF3B61">
        <w:rPr>
          <w:rFonts w:ascii="Calibri" w:eastAsia="Microsoft JhengHei" w:hAnsi="Calibri"/>
          <w:szCs w:val="22"/>
        </w:rPr>
        <w:t>d</w:t>
      </w:r>
      <w:r>
        <w:rPr>
          <w:rFonts w:ascii="Calibri" w:eastAsia="Microsoft JhengHei" w:hAnsi="Calibri"/>
          <w:szCs w:val="22"/>
        </w:rPr>
        <w:t xml:space="preserve"> year-on-year</w:t>
      </w:r>
      <w:r w:rsidR="00F5602A">
        <w:rPr>
          <w:rFonts w:ascii="Calibri" w:eastAsia="Microsoft JhengHei" w:hAnsi="Calibri"/>
          <w:szCs w:val="22"/>
        </w:rPr>
        <w:t xml:space="preserve"> to the direct GVA impact.</w:t>
      </w:r>
      <w:r w:rsidR="00F5602A">
        <w:t xml:space="preserve"> </w:t>
      </w:r>
    </w:p>
    <w:p w14:paraId="0723CFD0" w14:textId="77777777" w:rsidR="0098492E" w:rsidRDefault="0098492E" w:rsidP="00FA449A">
      <w:pPr>
        <w:spacing w:after="120"/>
      </w:pPr>
    </w:p>
    <w:p w14:paraId="7B5F7821" w14:textId="77777777" w:rsidR="0098492E" w:rsidRDefault="0098492E" w:rsidP="00FA449A">
      <w:pPr>
        <w:spacing w:after="120"/>
      </w:pPr>
    </w:p>
    <w:p w14:paraId="18908E64" w14:textId="77777777" w:rsidR="0098492E" w:rsidRDefault="0098492E" w:rsidP="00FA449A">
      <w:pPr>
        <w:spacing w:after="120"/>
      </w:pPr>
    </w:p>
    <w:p w14:paraId="7CB3444D" w14:textId="77777777" w:rsidR="0098492E" w:rsidRDefault="0098492E" w:rsidP="00FA449A">
      <w:pPr>
        <w:spacing w:after="120"/>
      </w:pPr>
    </w:p>
    <w:p w14:paraId="04504419" w14:textId="77777777" w:rsidR="0098492E" w:rsidRDefault="0098492E" w:rsidP="00FA449A">
      <w:pPr>
        <w:spacing w:after="120"/>
      </w:pPr>
    </w:p>
    <w:p w14:paraId="16512BF5" w14:textId="77777777" w:rsidR="0098492E" w:rsidRDefault="0098492E" w:rsidP="00FA449A">
      <w:pPr>
        <w:spacing w:after="120"/>
      </w:pPr>
    </w:p>
    <w:p w14:paraId="17AB59B8" w14:textId="77777777" w:rsidR="0098492E" w:rsidRDefault="0098492E" w:rsidP="00FA449A">
      <w:pPr>
        <w:spacing w:after="120"/>
      </w:pPr>
    </w:p>
    <w:p w14:paraId="25A65521" w14:textId="77777777" w:rsidR="000A265C" w:rsidRDefault="000A265C" w:rsidP="00FA449A">
      <w:pPr>
        <w:spacing w:after="120"/>
      </w:pPr>
    </w:p>
    <w:p w14:paraId="791C9393" w14:textId="77777777" w:rsidR="000A265C" w:rsidRDefault="000A265C" w:rsidP="00FA449A">
      <w:pPr>
        <w:spacing w:after="120"/>
      </w:pPr>
    </w:p>
    <w:p w14:paraId="4310044F" w14:textId="77777777" w:rsidR="0098492E" w:rsidRDefault="0098492E" w:rsidP="00FA449A">
      <w:pPr>
        <w:spacing w:after="120"/>
      </w:pPr>
    </w:p>
    <w:p w14:paraId="03E81530" w14:textId="738ADB40" w:rsidR="0098492E" w:rsidRDefault="0098492E" w:rsidP="0098492E">
      <w:pPr>
        <w:pStyle w:val="Caption"/>
      </w:pPr>
      <w:bookmarkStart w:id="45" w:name="_Ref16847568"/>
      <w:r>
        <w:lastRenderedPageBreak/>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7</w:t>
      </w:r>
      <w:r w:rsidR="00081E71">
        <w:rPr>
          <w:noProof/>
        </w:rPr>
        <w:fldChar w:fldCharType="end"/>
      </w:r>
      <w:bookmarkEnd w:id="45"/>
      <w:r>
        <w:t>: Contributions to GVA made by each cons</w:t>
      </w:r>
      <w:r w:rsidR="00CD65E7">
        <w:t xml:space="preserve">tituent Maritime industry, 2010 to </w:t>
      </w:r>
      <w:r>
        <w:t>2017</w:t>
      </w:r>
    </w:p>
    <w:p w14:paraId="62342A77" w14:textId="0312C498" w:rsidR="004648CD" w:rsidRDefault="00CD65E7" w:rsidP="00CD65E7">
      <w:pPr>
        <w:spacing w:after="120"/>
        <w:jc w:val="right"/>
      </w:pPr>
      <w:r>
        <w:rPr>
          <w:i/>
          <w:sz w:val="18"/>
          <w:szCs w:val="18"/>
        </w:rPr>
        <w:t>Source: ONS, FAME, Cebr analysis</w:t>
      </w:r>
      <w:r>
        <w:rPr>
          <w:noProof/>
          <w:lang w:eastAsia="en-GB"/>
        </w:rPr>
        <w:t xml:space="preserve"> </w:t>
      </w:r>
      <w:r w:rsidR="004648CD">
        <w:rPr>
          <w:noProof/>
          <w:lang w:eastAsia="en-GB"/>
        </w:rPr>
        <w:drawing>
          <wp:anchor distT="0" distB="0" distL="114300" distR="114300" simplePos="0" relativeHeight="251660288" behindDoc="0" locked="0" layoutInCell="1" allowOverlap="1" wp14:anchorId="461BF670" wp14:editId="1E70E09F">
            <wp:simplePos x="0" y="0"/>
            <wp:positionH relativeFrom="margin">
              <wp:align>center</wp:align>
            </wp:positionH>
            <wp:positionV relativeFrom="paragraph">
              <wp:posOffset>0</wp:posOffset>
            </wp:positionV>
            <wp:extent cx="5760000" cy="2880000"/>
            <wp:effectExtent l="0" t="0" r="0" b="0"/>
            <wp:wrapTopAndBottom/>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p>
    <w:p w14:paraId="184E6B5B" w14:textId="2B3FB1F6" w:rsidR="00221F8D" w:rsidRPr="004634AD" w:rsidRDefault="00F61D3A" w:rsidP="00FA449A">
      <w:pPr>
        <w:spacing w:after="120"/>
        <w:rPr>
          <w:b/>
          <w:color w:val="FF0000"/>
        </w:rPr>
      </w:pPr>
      <w:r>
        <w:t xml:space="preserve">The distribution of contributions is unsurprisingly similar to the distribution for turnover discussed previously. </w:t>
      </w:r>
      <w:r w:rsidR="00F5602A">
        <w:t>I</w:t>
      </w:r>
      <w:r w:rsidR="00221F8D">
        <w:t>n 201</w:t>
      </w:r>
      <w:r>
        <w:t>7</w:t>
      </w:r>
      <w:r w:rsidR="00221F8D">
        <w:t xml:space="preserve"> the </w:t>
      </w:r>
      <w:r>
        <w:t>s</w:t>
      </w:r>
      <w:r w:rsidR="00221F8D">
        <w:t>hipping in</w:t>
      </w:r>
      <w:r w:rsidR="001E6968">
        <w:t xml:space="preserve">dustry accounted for just </w:t>
      </w:r>
      <w:r>
        <w:t>under 50</w:t>
      </w:r>
      <w:r w:rsidR="00221F8D">
        <w:t xml:space="preserve">% of the </w:t>
      </w:r>
      <w:r>
        <w:t xml:space="preserve">total GVA </w:t>
      </w:r>
      <w:r w:rsidR="00221F8D">
        <w:t>impact</w:t>
      </w:r>
      <w:r>
        <w:t xml:space="preserve"> of the Welsh </w:t>
      </w:r>
      <w:r w:rsidR="00654BBE">
        <w:t>Maritime Sector</w:t>
      </w:r>
      <w:r>
        <w:t xml:space="preserve">. </w:t>
      </w:r>
    </w:p>
    <w:p w14:paraId="777D6412" w14:textId="314F5F88" w:rsidR="00E61FBA" w:rsidRDefault="00E61FBA" w:rsidP="00FA449A">
      <w:pPr>
        <w:spacing w:after="120"/>
      </w:pPr>
      <w:r>
        <w:t xml:space="preserve">To </w:t>
      </w:r>
      <w:r w:rsidR="00EF3B61">
        <w:t xml:space="preserve">put </w:t>
      </w:r>
      <w:r>
        <w:t xml:space="preserve">the Welsh </w:t>
      </w:r>
      <w:r w:rsidR="00654BBE">
        <w:t>Maritime Sector</w:t>
      </w:r>
      <w:r>
        <w:t xml:space="preserve">’s direct contribution through GVA in context, </w:t>
      </w:r>
      <w:r w:rsidR="009F7D39">
        <w:fldChar w:fldCharType="begin"/>
      </w:r>
      <w:r w:rsidR="009F7D39">
        <w:instrText xml:space="preserve"> REF _Ref490228723 \h </w:instrText>
      </w:r>
      <w:r w:rsidR="009F7D39">
        <w:fldChar w:fldCharType="separate"/>
      </w:r>
      <w:r w:rsidR="00963862">
        <w:t xml:space="preserve">Figure </w:t>
      </w:r>
      <w:r w:rsidR="00963862">
        <w:rPr>
          <w:noProof/>
        </w:rPr>
        <w:t>8</w:t>
      </w:r>
      <w:r w:rsidR="009F7D39">
        <w:fldChar w:fldCharType="end"/>
      </w:r>
      <w:r w:rsidR="009F7D39">
        <w:t xml:space="preserve"> </w:t>
      </w:r>
      <w:r>
        <w:t xml:space="preserve">below compares the direct GVA impact of the </w:t>
      </w:r>
      <w:r w:rsidR="00654BBE">
        <w:t>Maritime Sector</w:t>
      </w:r>
      <w:r>
        <w:t xml:space="preserve"> in 201</w:t>
      </w:r>
      <w:r w:rsidR="00916197">
        <w:t>7</w:t>
      </w:r>
      <w:r>
        <w:t xml:space="preserve"> with that of </w:t>
      </w:r>
      <w:r w:rsidR="00916197">
        <w:t>other industries. GVA</w:t>
      </w:r>
      <w:r>
        <w:t xml:space="preserve"> data for the comparable industries has been sourced from th</w:t>
      </w:r>
      <w:r w:rsidR="00386B1E">
        <w:t>e Annual Business Survey (ABS).</w:t>
      </w:r>
    </w:p>
    <w:p w14:paraId="18252010" w14:textId="1390A8E5" w:rsidR="00DB0FC0" w:rsidRDefault="00DB0FC0" w:rsidP="00DB0FC0">
      <w:pPr>
        <w:pStyle w:val="Caption"/>
        <w:keepNext/>
      </w:pPr>
      <w:bookmarkStart w:id="46" w:name="_Ref490228723"/>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8</w:t>
      </w:r>
      <w:r w:rsidR="00A420C1">
        <w:rPr>
          <w:noProof/>
        </w:rPr>
        <w:fldChar w:fldCharType="end"/>
      </w:r>
      <w:bookmarkEnd w:id="46"/>
      <w:r>
        <w:t xml:space="preserve">: The estimated GVA of the </w:t>
      </w:r>
      <w:r w:rsidR="00654BBE">
        <w:t>Maritime Sector</w:t>
      </w:r>
      <w:r>
        <w:t xml:space="preserve"> in Wales against com</w:t>
      </w:r>
      <w:r w:rsidR="00897D79">
        <w:t>parable Welsh industries in 2017</w:t>
      </w:r>
    </w:p>
    <w:p w14:paraId="05BB4DBF" w14:textId="5CAB7E5A" w:rsidR="00DB0FC0" w:rsidRDefault="00897D79" w:rsidP="001E6968">
      <w:r>
        <w:rPr>
          <w:noProof/>
          <w:lang w:eastAsia="en-GB"/>
        </w:rPr>
        <w:drawing>
          <wp:anchor distT="0" distB="0" distL="114300" distR="114300" simplePos="0" relativeHeight="251669504" behindDoc="0" locked="0" layoutInCell="1" allowOverlap="1" wp14:anchorId="6AB099C1" wp14:editId="0814536E">
            <wp:simplePos x="0" y="0"/>
            <wp:positionH relativeFrom="margin">
              <wp:align>center</wp:align>
            </wp:positionH>
            <wp:positionV relativeFrom="paragraph">
              <wp:posOffset>2540</wp:posOffset>
            </wp:positionV>
            <wp:extent cx="5760000" cy="2880000"/>
            <wp:effectExtent l="0" t="0" r="0" b="0"/>
            <wp:wrapTopAndBottom/>
            <wp:docPr id="58" name="Chart 5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3001472D" w14:textId="0D46B307" w:rsidR="00DB0FC0" w:rsidRDefault="00DB0FC0" w:rsidP="00DB0FC0">
      <w:pPr>
        <w:spacing w:after="120"/>
        <w:jc w:val="right"/>
        <w:rPr>
          <w:i/>
          <w:sz w:val="18"/>
          <w:szCs w:val="18"/>
        </w:rPr>
      </w:pPr>
      <w:r>
        <w:rPr>
          <w:i/>
          <w:sz w:val="18"/>
          <w:szCs w:val="18"/>
        </w:rPr>
        <w:t>Source: ONS, FAME, Cebr analysis</w:t>
      </w:r>
    </w:p>
    <w:p w14:paraId="038F0FBE" w14:textId="77777777" w:rsidR="00221F8D" w:rsidRDefault="00221F8D" w:rsidP="00221F8D">
      <w:pPr>
        <w:pStyle w:val="Heading2"/>
      </w:pPr>
      <w:bookmarkStart w:id="47" w:name="_Toc488396654"/>
      <w:bookmarkStart w:id="48" w:name="_Toc18076341"/>
      <w:r>
        <w:lastRenderedPageBreak/>
        <w:t>The direct impact through employment</w:t>
      </w:r>
      <w:bookmarkEnd w:id="47"/>
      <w:bookmarkEnd w:id="48"/>
    </w:p>
    <w:p w14:paraId="6D03C143" w14:textId="2E7CC4B1" w:rsidR="00221F8D" w:rsidRDefault="00221F8D" w:rsidP="00221F8D">
      <w:pPr>
        <w:spacing w:after="120"/>
      </w:pPr>
      <w:r>
        <w:t xml:space="preserve">This subsection outlines the direct employment impact from the </w:t>
      </w:r>
      <w:r w:rsidR="00654BBE">
        <w:t>Maritime Sector</w:t>
      </w:r>
      <w:r>
        <w:t xml:space="preserve"> in Wales.</w:t>
      </w:r>
      <w:r w:rsidR="004632E2">
        <w:t xml:space="preserve"> </w:t>
      </w:r>
      <w:r w:rsidR="004632E2">
        <w:fldChar w:fldCharType="begin"/>
      </w:r>
      <w:r w:rsidR="004632E2">
        <w:instrText xml:space="preserve"> REF _Ref490042098 \h </w:instrText>
      </w:r>
      <w:r w:rsidR="004632E2">
        <w:fldChar w:fldCharType="separate"/>
      </w:r>
      <w:r w:rsidR="00963862">
        <w:t xml:space="preserve">Figure </w:t>
      </w:r>
      <w:r w:rsidR="00963862">
        <w:rPr>
          <w:noProof/>
        </w:rPr>
        <w:t>9</w:t>
      </w:r>
      <w:r w:rsidR="004632E2">
        <w:fldChar w:fldCharType="end"/>
      </w:r>
      <w:r w:rsidR="004632E2">
        <w:t xml:space="preserve"> below shows the direct employment impact of the </w:t>
      </w:r>
      <w:r w:rsidR="00654BBE">
        <w:t>Maritime Sector</w:t>
      </w:r>
      <w:r w:rsidR="004632E2">
        <w:t xml:space="preserve"> in Wales, both in levels and as a percentage of the UK </w:t>
      </w:r>
      <w:r w:rsidR="00654BBE">
        <w:t>Maritime Sector</w:t>
      </w:r>
      <w:r w:rsidR="004632E2">
        <w:t>, for years 2010 to 201</w:t>
      </w:r>
      <w:r w:rsidR="004634AD">
        <w:t>7</w:t>
      </w:r>
      <w:r w:rsidR="004632E2">
        <w:t xml:space="preserve">. The direct impacts are disaggregated by industry. </w:t>
      </w:r>
    </w:p>
    <w:p w14:paraId="0CB8794A" w14:textId="10DFAB0D" w:rsidR="004632E2" w:rsidRDefault="004632E2" w:rsidP="004632E2">
      <w:pPr>
        <w:pStyle w:val="Caption"/>
        <w:keepNext/>
      </w:pPr>
      <w:bookmarkStart w:id="49" w:name="_Ref490042098"/>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9</w:t>
      </w:r>
      <w:r w:rsidR="00A420C1">
        <w:rPr>
          <w:noProof/>
        </w:rPr>
        <w:fldChar w:fldCharType="end"/>
      </w:r>
      <w:bookmarkEnd w:id="49"/>
      <w:r>
        <w:t xml:space="preserve">. </w:t>
      </w:r>
      <w:r w:rsidRPr="0003135F">
        <w:t xml:space="preserve">The direct contribution of the </w:t>
      </w:r>
      <w:r w:rsidR="00654BBE">
        <w:t>Maritime Sector</w:t>
      </w:r>
      <w:r w:rsidRPr="0003135F">
        <w:t xml:space="preserve"> in </w:t>
      </w:r>
      <w:r>
        <w:t>Wales</w:t>
      </w:r>
      <w:r w:rsidRPr="0003135F">
        <w:t xml:space="preserve"> through employment, and </w:t>
      </w:r>
      <w:r>
        <w:t>Wales's</w:t>
      </w:r>
      <w:r w:rsidRPr="0003135F">
        <w:t xml:space="preserve"> share of the </w:t>
      </w:r>
      <w:r w:rsidR="00654BBE">
        <w:t>Maritime Sector</w:t>
      </w:r>
      <w:r w:rsidRPr="0003135F">
        <w:t>’s total direct contribution through employment</w:t>
      </w:r>
      <w:r w:rsidR="00CD65E7">
        <w:t>, 2010 to 2017</w:t>
      </w:r>
    </w:p>
    <w:p w14:paraId="61F6ADEF" w14:textId="2EADCB97" w:rsidR="004632E2" w:rsidRDefault="004634AD" w:rsidP="001C73C3">
      <w:pPr>
        <w:spacing w:after="0"/>
        <w:rPr>
          <w:rFonts w:ascii="Calibri" w:eastAsia="Microsoft JhengHei" w:hAnsi="Calibri"/>
          <w:szCs w:val="22"/>
        </w:rPr>
      </w:pPr>
      <w:r>
        <w:rPr>
          <w:noProof/>
          <w:lang w:eastAsia="en-GB"/>
        </w:rPr>
        <w:drawing>
          <wp:inline distT="0" distB="0" distL="0" distR="0" wp14:anchorId="5C6836D9" wp14:editId="0F7C45EB">
            <wp:extent cx="5908675" cy="3165895"/>
            <wp:effectExtent l="0" t="0" r="0" b="0"/>
            <wp:docPr id="23" name="Chart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0E7455CE" w14:textId="0A96B6EC" w:rsidR="004632E2" w:rsidRPr="0098492E" w:rsidRDefault="004634AD" w:rsidP="0098492E">
      <w:pPr>
        <w:jc w:val="right"/>
      </w:pPr>
      <w:r>
        <w:rPr>
          <w:i/>
          <w:sz w:val="18"/>
          <w:szCs w:val="18"/>
        </w:rPr>
        <w:t>Source: ONS, FAME, Cebr analysis</w:t>
      </w:r>
    </w:p>
    <w:p w14:paraId="006E2287" w14:textId="330D1F9D" w:rsidR="004632E2" w:rsidRDefault="004632E2" w:rsidP="004632E2">
      <w:pPr>
        <w:rPr>
          <w:rFonts w:ascii="Calibri" w:eastAsia="Microsoft JhengHei" w:hAnsi="Calibri"/>
          <w:b/>
          <w:color w:val="FF0000"/>
          <w:szCs w:val="22"/>
        </w:rPr>
      </w:pPr>
      <w:r>
        <w:rPr>
          <w:rFonts w:ascii="Calibri" w:eastAsia="Microsoft JhengHei" w:hAnsi="Calibri"/>
          <w:szCs w:val="22"/>
        </w:rPr>
        <w:t>In 201</w:t>
      </w:r>
      <w:r w:rsidR="004634AD">
        <w:rPr>
          <w:rFonts w:ascii="Calibri" w:eastAsia="Microsoft JhengHei" w:hAnsi="Calibri"/>
          <w:szCs w:val="22"/>
        </w:rPr>
        <w:t>7</w:t>
      </w:r>
      <w:r>
        <w:rPr>
          <w:rFonts w:ascii="Calibri" w:eastAsia="Microsoft JhengHei" w:hAnsi="Calibri"/>
          <w:szCs w:val="22"/>
        </w:rPr>
        <w:t xml:space="preserve"> the direct employment contribution of the </w:t>
      </w:r>
      <w:r w:rsidR="00654BBE">
        <w:rPr>
          <w:rFonts w:ascii="Calibri" w:eastAsia="Microsoft JhengHei" w:hAnsi="Calibri"/>
          <w:szCs w:val="22"/>
        </w:rPr>
        <w:t>Maritime Sector</w:t>
      </w:r>
      <w:r>
        <w:rPr>
          <w:rFonts w:ascii="Calibri" w:eastAsia="Microsoft JhengHei" w:hAnsi="Calibri"/>
          <w:szCs w:val="22"/>
        </w:rPr>
        <w:t xml:space="preserve"> in Wales</w:t>
      </w:r>
      <w:r w:rsidR="00EF3B61">
        <w:rPr>
          <w:rFonts w:ascii="Calibri" w:eastAsia="Microsoft JhengHei" w:hAnsi="Calibri"/>
          <w:szCs w:val="22"/>
        </w:rPr>
        <w:t xml:space="preserve"> was </w:t>
      </w:r>
      <w:r w:rsidR="004634AD">
        <w:rPr>
          <w:rFonts w:ascii="Calibri" w:eastAsia="Microsoft JhengHei" w:hAnsi="Calibri"/>
          <w:szCs w:val="22"/>
        </w:rPr>
        <w:t>4</w:t>
      </w:r>
      <w:r w:rsidR="00EF3B61">
        <w:rPr>
          <w:rFonts w:ascii="Calibri" w:eastAsia="Microsoft JhengHei" w:hAnsi="Calibri"/>
          <w:szCs w:val="22"/>
        </w:rPr>
        <w:t>,</w:t>
      </w:r>
      <w:r w:rsidR="004634AD">
        <w:rPr>
          <w:rFonts w:ascii="Calibri" w:eastAsia="Microsoft JhengHei" w:hAnsi="Calibri"/>
          <w:szCs w:val="22"/>
        </w:rPr>
        <w:t>067</w:t>
      </w:r>
      <w:r w:rsidR="00EF3B61">
        <w:rPr>
          <w:rFonts w:ascii="Calibri" w:eastAsia="Microsoft JhengHei" w:hAnsi="Calibri"/>
          <w:szCs w:val="22"/>
        </w:rPr>
        <w:t xml:space="preserve"> jobs: this represented</w:t>
      </w:r>
      <w:r w:rsidR="004634AD">
        <w:rPr>
          <w:rFonts w:ascii="Calibri" w:eastAsia="Microsoft JhengHei" w:hAnsi="Calibri"/>
          <w:szCs w:val="22"/>
        </w:rPr>
        <w:t xml:space="preserve"> 1.8</w:t>
      </w:r>
      <w:r>
        <w:rPr>
          <w:rFonts w:ascii="Calibri" w:eastAsia="Microsoft JhengHei" w:hAnsi="Calibri"/>
          <w:szCs w:val="22"/>
        </w:rPr>
        <w:t xml:space="preserve">% of the UK </w:t>
      </w:r>
      <w:r w:rsidR="00654BBE">
        <w:rPr>
          <w:rFonts w:ascii="Calibri" w:eastAsia="Microsoft JhengHei" w:hAnsi="Calibri"/>
          <w:szCs w:val="22"/>
        </w:rPr>
        <w:t>Maritime Sector</w:t>
      </w:r>
      <w:r>
        <w:rPr>
          <w:rFonts w:ascii="Calibri" w:eastAsia="Microsoft JhengHei" w:hAnsi="Calibri"/>
          <w:szCs w:val="22"/>
        </w:rPr>
        <w:t xml:space="preserve"> contribution as a whole. </w:t>
      </w:r>
      <w:r w:rsidR="00DE1904" w:rsidRPr="00DE1904">
        <w:rPr>
          <w:rFonts w:ascii="Calibri" w:eastAsia="Microsoft JhengHei" w:hAnsi="Calibri"/>
          <w:szCs w:val="22"/>
        </w:rPr>
        <w:t xml:space="preserve">Once again, this decline was mainly driven </w:t>
      </w:r>
      <w:r w:rsidR="00DE1904">
        <w:rPr>
          <w:rFonts w:ascii="Calibri" w:eastAsia="Microsoft JhengHei" w:hAnsi="Calibri"/>
          <w:szCs w:val="22"/>
        </w:rPr>
        <w:t>by a decline in shipping industry employment.</w:t>
      </w:r>
    </w:p>
    <w:p w14:paraId="69566ED0" w14:textId="19280194" w:rsidR="00B770F6" w:rsidRPr="00F5602A" w:rsidRDefault="00B770F6" w:rsidP="00B770F6">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_Ref16847975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10</w:t>
      </w:r>
      <w:r>
        <w:rPr>
          <w:rFonts w:ascii="Calibri" w:eastAsia="Microsoft JhengHei" w:hAnsi="Calibri"/>
          <w:szCs w:val="22"/>
        </w:rPr>
        <w:fldChar w:fldCharType="end"/>
      </w:r>
      <w:r>
        <w:rPr>
          <w:rFonts w:ascii="Calibri" w:eastAsia="Microsoft JhengHei" w:hAnsi="Calibri"/>
          <w:szCs w:val="22"/>
        </w:rPr>
        <w:t xml:space="preserve"> below illustrates</w:t>
      </w:r>
      <w:r w:rsidR="0016007E">
        <w:rPr>
          <w:rFonts w:ascii="Calibri" w:eastAsia="Microsoft JhengHei" w:hAnsi="Calibri"/>
          <w:szCs w:val="22"/>
        </w:rPr>
        <w:t xml:space="preserve"> the proportion of employment in the Welsh </w:t>
      </w:r>
      <w:r w:rsidR="00654BBE">
        <w:rPr>
          <w:rFonts w:ascii="Calibri" w:eastAsia="Microsoft JhengHei" w:hAnsi="Calibri"/>
          <w:szCs w:val="22"/>
        </w:rPr>
        <w:t>Maritime Sector</w:t>
      </w:r>
      <w:r w:rsidR="0016007E">
        <w:rPr>
          <w:rFonts w:ascii="Calibri" w:eastAsia="Microsoft JhengHei" w:hAnsi="Calibri"/>
          <w:szCs w:val="22"/>
        </w:rPr>
        <w:t xml:space="preserve"> that is attributed to each industry. </w:t>
      </w:r>
      <w:r>
        <w:rPr>
          <w:rFonts w:ascii="Calibri" w:eastAsia="Microsoft JhengHei" w:hAnsi="Calibri"/>
          <w:szCs w:val="22"/>
        </w:rPr>
        <w:t xml:space="preserve">Interestingly, while the shipping industry contributed almost 50% of the Welsh </w:t>
      </w:r>
      <w:r w:rsidR="00654BBE">
        <w:rPr>
          <w:rFonts w:ascii="Calibri" w:eastAsia="Microsoft JhengHei" w:hAnsi="Calibri"/>
          <w:szCs w:val="22"/>
        </w:rPr>
        <w:t>Maritime Sector</w:t>
      </w:r>
      <w:r>
        <w:rPr>
          <w:rFonts w:ascii="Calibri" w:eastAsia="Microsoft JhengHei" w:hAnsi="Calibri"/>
          <w:szCs w:val="22"/>
        </w:rPr>
        <w:t>’s GVA, it contributed just 34% of its employ</w:t>
      </w:r>
      <w:r w:rsidR="00E137F0">
        <w:rPr>
          <w:rFonts w:ascii="Calibri" w:eastAsia="Microsoft JhengHei" w:hAnsi="Calibri"/>
          <w:szCs w:val="22"/>
        </w:rPr>
        <w:t xml:space="preserve">ment. In comparison, marine engineering contributed 30% of the direct employment compared to only contributing 20% to direct GVA in 2017. </w:t>
      </w:r>
    </w:p>
    <w:p w14:paraId="0C334285" w14:textId="7BBD9623" w:rsidR="0016007E" w:rsidRDefault="0016007E" w:rsidP="004632E2">
      <w:pPr>
        <w:rPr>
          <w:rFonts w:ascii="Calibri" w:eastAsia="Microsoft JhengHei" w:hAnsi="Calibri"/>
          <w:szCs w:val="22"/>
        </w:rPr>
      </w:pPr>
    </w:p>
    <w:p w14:paraId="7B96E4CC" w14:textId="77777777" w:rsidR="0098492E" w:rsidRDefault="0098492E" w:rsidP="004632E2">
      <w:pPr>
        <w:rPr>
          <w:rFonts w:ascii="Calibri" w:eastAsia="Microsoft JhengHei" w:hAnsi="Calibri"/>
          <w:szCs w:val="22"/>
        </w:rPr>
      </w:pPr>
    </w:p>
    <w:p w14:paraId="66D45513" w14:textId="77777777" w:rsidR="0098492E" w:rsidRDefault="0098492E" w:rsidP="004632E2">
      <w:pPr>
        <w:rPr>
          <w:rFonts w:ascii="Calibri" w:eastAsia="Microsoft JhengHei" w:hAnsi="Calibri"/>
          <w:szCs w:val="22"/>
        </w:rPr>
      </w:pPr>
    </w:p>
    <w:p w14:paraId="7AD0BA8D" w14:textId="77777777" w:rsidR="0098492E" w:rsidRDefault="0098492E" w:rsidP="004632E2">
      <w:pPr>
        <w:rPr>
          <w:rFonts w:ascii="Calibri" w:eastAsia="Microsoft JhengHei" w:hAnsi="Calibri"/>
          <w:szCs w:val="22"/>
        </w:rPr>
      </w:pPr>
    </w:p>
    <w:p w14:paraId="3491AEB5" w14:textId="77777777" w:rsidR="0098492E" w:rsidRDefault="0098492E" w:rsidP="004632E2">
      <w:pPr>
        <w:rPr>
          <w:rFonts w:ascii="Calibri" w:eastAsia="Microsoft JhengHei" w:hAnsi="Calibri"/>
          <w:szCs w:val="22"/>
        </w:rPr>
      </w:pPr>
    </w:p>
    <w:p w14:paraId="53E8166B" w14:textId="77777777" w:rsidR="0098492E" w:rsidRDefault="0098492E" w:rsidP="004632E2">
      <w:pPr>
        <w:rPr>
          <w:rFonts w:ascii="Calibri" w:eastAsia="Microsoft JhengHei" w:hAnsi="Calibri"/>
          <w:szCs w:val="22"/>
        </w:rPr>
      </w:pPr>
    </w:p>
    <w:p w14:paraId="29D6237C" w14:textId="7A6F028D" w:rsidR="00E137F0" w:rsidRDefault="00E137F0" w:rsidP="004632E2">
      <w:pPr>
        <w:rPr>
          <w:rFonts w:ascii="Calibri" w:eastAsia="Microsoft JhengHei" w:hAnsi="Calibri"/>
          <w:szCs w:val="22"/>
        </w:rPr>
      </w:pPr>
    </w:p>
    <w:p w14:paraId="0FC1C819" w14:textId="77777777" w:rsidR="00E137F0" w:rsidRDefault="00E137F0" w:rsidP="004632E2">
      <w:pPr>
        <w:rPr>
          <w:rFonts w:ascii="Calibri" w:eastAsia="Microsoft JhengHei" w:hAnsi="Calibri"/>
          <w:szCs w:val="22"/>
        </w:rPr>
      </w:pPr>
    </w:p>
    <w:p w14:paraId="795BD428" w14:textId="137C54F8" w:rsidR="0098492E" w:rsidRPr="0098492E" w:rsidRDefault="0098492E" w:rsidP="0098492E">
      <w:pPr>
        <w:pStyle w:val="Caption"/>
        <w:rPr>
          <w:i w:val="0"/>
          <w:iCs w:val="0"/>
        </w:rPr>
      </w:pPr>
      <w:bookmarkStart w:id="50" w:name="_Ref16847975"/>
      <w:r>
        <w:lastRenderedPageBreak/>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10</w:t>
      </w:r>
      <w:r w:rsidR="00081E71">
        <w:rPr>
          <w:noProof/>
        </w:rPr>
        <w:fldChar w:fldCharType="end"/>
      </w:r>
      <w:bookmarkEnd w:id="50"/>
      <w:r>
        <w:t xml:space="preserve">: </w:t>
      </w:r>
      <w:r w:rsidRPr="0098492E">
        <w:rPr>
          <w:i w:val="0"/>
          <w:iCs w:val="0"/>
        </w:rPr>
        <w:t>Contributions to</w:t>
      </w:r>
      <w:r>
        <w:rPr>
          <w:i w:val="0"/>
          <w:iCs w:val="0"/>
        </w:rPr>
        <w:t xml:space="preserve"> employment</w:t>
      </w:r>
      <w:r w:rsidRPr="0098492E">
        <w:rPr>
          <w:i w:val="0"/>
          <w:iCs w:val="0"/>
        </w:rPr>
        <w:t xml:space="preserve"> made by each cons</w:t>
      </w:r>
      <w:r w:rsidR="00CD65E7">
        <w:rPr>
          <w:i w:val="0"/>
          <w:iCs w:val="0"/>
        </w:rPr>
        <w:t xml:space="preserve">tituent Maritime industry, 2010 to </w:t>
      </w:r>
      <w:r w:rsidRPr="0098492E">
        <w:rPr>
          <w:i w:val="0"/>
          <w:iCs w:val="0"/>
        </w:rPr>
        <w:t>2017</w:t>
      </w:r>
    </w:p>
    <w:p w14:paraId="1FE1A981" w14:textId="39DC0841" w:rsidR="0016007E" w:rsidRPr="0016007E" w:rsidRDefault="00CD65E7" w:rsidP="00CD65E7">
      <w:pPr>
        <w:jc w:val="right"/>
        <w:rPr>
          <w:rFonts w:ascii="Calibri" w:eastAsia="Microsoft JhengHei" w:hAnsi="Calibri"/>
          <w:color w:val="FF0000"/>
          <w:szCs w:val="22"/>
        </w:rPr>
      </w:pPr>
      <w:r>
        <w:rPr>
          <w:i/>
          <w:sz w:val="18"/>
          <w:szCs w:val="18"/>
        </w:rPr>
        <w:t>Source: ONS, FAME, Cebr analysis</w:t>
      </w:r>
      <w:r>
        <w:rPr>
          <w:noProof/>
          <w:lang w:eastAsia="en-GB"/>
        </w:rPr>
        <w:t xml:space="preserve"> </w:t>
      </w:r>
      <w:r w:rsidR="0016007E">
        <w:rPr>
          <w:noProof/>
          <w:lang w:eastAsia="en-GB"/>
        </w:rPr>
        <w:drawing>
          <wp:anchor distT="0" distB="0" distL="114300" distR="114300" simplePos="0" relativeHeight="251661312" behindDoc="0" locked="0" layoutInCell="1" allowOverlap="1" wp14:anchorId="49767511" wp14:editId="1E9AC3D5">
            <wp:simplePos x="0" y="0"/>
            <wp:positionH relativeFrom="margin">
              <wp:align>center</wp:align>
            </wp:positionH>
            <wp:positionV relativeFrom="paragraph">
              <wp:posOffset>276</wp:posOffset>
            </wp:positionV>
            <wp:extent cx="5760000" cy="2880000"/>
            <wp:effectExtent l="0" t="0" r="0" b="0"/>
            <wp:wrapTopAndBottom/>
            <wp:docPr id="24" name="Chart 24"/>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p>
    <w:p w14:paraId="7A28BEFB" w14:textId="54AAB35B" w:rsidR="006A55F5" w:rsidRDefault="00C073CF" w:rsidP="005666BF">
      <w:pPr>
        <w:spacing w:after="120"/>
      </w:pPr>
      <w:r>
        <w:t>Through combining the direct economic</w:t>
      </w:r>
      <w:r w:rsidR="00E137F0">
        <w:t xml:space="preserve"> impacts of the Welsh </w:t>
      </w:r>
      <w:r w:rsidR="00654BBE">
        <w:t>Maritime Sector</w:t>
      </w:r>
      <w:r>
        <w:t xml:space="preserve"> through GVA and employment, we can determine the levels of productivity across each indu</w:t>
      </w:r>
      <w:r w:rsidR="00E137F0">
        <w:t xml:space="preserve">stry within the Welsh </w:t>
      </w:r>
      <w:r w:rsidR="00654BBE">
        <w:t>Maritime Sector</w:t>
      </w:r>
      <w:r>
        <w:t xml:space="preserve">. </w:t>
      </w:r>
      <w:r w:rsidR="008E0882">
        <w:fldChar w:fldCharType="begin"/>
      </w:r>
      <w:r w:rsidR="008E0882">
        <w:instrText xml:space="preserve"> REF _Ref490044654 \h </w:instrText>
      </w:r>
      <w:r w:rsidR="008E0882">
        <w:fldChar w:fldCharType="separate"/>
      </w:r>
      <w:r w:rsidR="00963862">
        <w:t xml:space="preserve">Table </w:t>
      </w:r>
      <w:r w:rsidR="00963862">
        <w:rPr>
          <w:noProof/>
        </w:rPr>
        <w:t>9</w:t>
      </w:r>
      <w:r w:rsidR="008E0882">
        <w:fldChar w:fldCharType="end"/>
      </w:r>
      <w:r w:rsidR="008E0882">
        <w:t xml:space="preserve"> below shows the levels of productivity across each indu</w:t>
      </w:r>
      <w:r w:rsidR="00E137F0">
        <w:t xml:space="preserve">stry within the Welsh </w:t>
      </w:r>
      <w:r w:rsidR="00654BBE">
        <w:t>Maritime Sector</w:t>
      </w:r>
      <w:r w:rsidR="008E0882">
        <w:t xml:space="preserve">, </w:t>
      </w:r>
      <w:r w:rsidR="006F26DC">
        <w:t xml:space="preserve">as well as productivity across Wales as a whole, </w:t>
      </w:r>
      <w:r w:rsidR="008E0882">
        <w:t>for the years 2010 to 201</w:t>
      </w:r>
      <w:r w:rsidR="003C3070">
        <w:t>7</w:t>
      </w:r>
      <w:r w:rsidR="008E0882">
        <w:t>.</w:t>
      </w:r>
      <w:r w:rsidR="006F26DC">
        <w:t xml:space="preserve"> </w:t>
      </w:r>
      <w:bookmarkStart w:id="51" w:name="_Ref490044654"/>
    </w:p>
    <w:p w14:paraId="32FF593D" w14:textId="23D45B94" w:rsidR="001C33A5" w:rsidRDefault="001C33A5" w:rsidP="001C33A5">
      <w:pPr>
        <w:pStyle w:val="Caption"/>
        <w:keepNext/>
      </w:pPr>
      <w:r>
        <w:t xml:space="preserve">Table </w:t>
      </w:r>
      <w:r w:rsidR="00A420C1">
        <w:rPr>
          <w:noProof/>
        </w:rPr>
        <w:fldChar w:fldCharType="begin"/>
      </w:r>
      <w:r w:rsidR="00A420C1">
        <w:rPr>
          <w:noProof/>
        </w:rPr>
        <w:instrText xml:space="preserve"> SEQ Table \* ARABIC </w:instrText>
      </w:r>
      <w:r w:rsidR="00A420C1">
        <w:rPr>
          <w:noProof/>
        </w:rPr>
        <w:fldChar w:fldCharType="separate"/>
      </w:r>
      <w:r w:rsidR="00963862">
        <w:rPr>
          <w:noProof/>
        </w:rPr>
        <w:t>9</w:t>
      </w:r>
      <w:r w:rsidR="00A420C1">
        <w:rPr>
          <w:noProof/>
        </w:rPr>
        <w:fldChar w:fldCharType="end"/>
      </w:r>
      <w:bookmarkEnd w:id="51"/>
      <w:r>
        <w:t xml:space="preserve">: Productivity (GVA per employee) in the Welsh </w:t>
      </w:r>
      <w:r w:rsidR="00654BBE">
        <w:t>Maritime Sector</w:t>
      </w:r>
      <w:r>
        <w:t xml:space="preserve"> and constituent industries</w:t>
      </w:r>
      <w:r w:rsidR="00CD65E7">
        <w:t>, 2010 to 2017</w:t>
      </w:r>
    </w:p>
    <w:tbl>
      <w:tblPr>
        <w:tblW w:w="5000" w:type="pct"/>
        <w:tblLook w:val="04A0" w:firstRow="1" w:lastRow="0" w:firstColumn="1" w:lastColumn="0" w:noHBand="0" w:noVBand="1"/>
      </w:tblPr>
      <w:tblGrid>
        <w:gridCol w:w="2094"/>
        <w:gridCol w:w="876"/>
        <w:gridCol w:w="876"/>
        <w:gridCol w:w="976"/>
        <w:gridCol w:w="976"/>
        <w:gridCol w:w="976"/>
        <w:gridCol w:w="876"/>
        <w:gridCol w:w="876"/>
        <w:gridCol w:w="876"/>
      </w:tblGrid>
      <w:tr w:rsidR="004634AD" w:rsidRPr="004634AD" w14:paraId="013D61FF" w14:textId="77777777" w:rsidTr="00E137F0">
        <w:trPr>
          <w:trHeight w:val="525"/>
        </w:trPr>
        <w:tc>
          <w:tcPr>
            <w:tcW w:w="1114" w:type="pct"/>
            <w:tcBorders>
              <w:top w:val="single" w:sz="8" w:space="0" w:color="FFFFFF"/>
              <w:left w:val="nil"/>
              <w:bottom w:val="single" w:sz="12" w:space="0" w:color="FFFFFF"/>
              <w:right w:val="single" w:sz="8" w:space="0" w:color="FFFFFF"/>
            </w:tcBorders>
            <w:shd w:val="clear" w:color="000000" w:fill="008C9B"/>
            <w:vAlign w:val="center"/>
            <w:hideMark/>
          </w:tcPr>
          <w:p w14:paraId="2E710117" w14:textId="77777777" w:rsidR="004634AD" w:rsidRPr="004634AD" w:rsidRDefault="004634AD" w:rsidP="004634AD">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GVA per employee</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40438BF9"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2010</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7A5DA745"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2011</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75E6FDC5"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2012</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39A26A93"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2013</w:t>
            </w:r>
          </w:p>
        </w:tc>
        <w:tc>
          <w:tcPr>
            <w:tcW w:w="519" w:type="pct"/>
            <w:tcBorders>
              <w:top w:val="single" w:sz="8" w:space="0" w:color="FFFFFF"/>
              <w:left w:val="nil"/>
              <w:bottom w:val="single" w:sz="12" w:space="0" w:color="FFFFFF"/>
              <w:right w:val="single" w:sz="8" w:space="0" w:color="FFFFFF"/>
            </w:tcBorders>
            <w:shd w:val="clear" w:color="000000" w:fill="008C9B"/>
            <w:vAlign w:val="center"/>
            <w:hideMark/>
          </w:tcPr>
          <w:p w14:paraId="26DF548F"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2014</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60BBAC8B"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2015</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1AD72BFC"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2016</w:t>
            </w:r>
          </w:p>
        </w:tc>
        <w:tc>
          <w:tcPr>
            <w:tcW w:w="466" w:type="pct"/>
            <w:tcBorders>
              <w:top w:val="single" w:sz="8" w:space="0" w:color="FFFFFF"/>
              <w:left w:val="nil"/>
              <w:bottom w:val="single" w:sz="12" w:space="0" w:color="FFFFFF"/>
              <w:right w:val="single" w:sz="8" w:space="0" w:color="FFFFFF"/>
            </w:tcBorders>
            <w:shd w:val="clear" w:color="000000" w:fill="008C9B"/>
            <w:vAlign w:val="center"/>
            <w:hideMark/>
          </w:tcPr>
          <w:p w14:paraId="4BBF3412" w14:textId="77777777" w:rsidR="004634AD" w:rsidRPr="004634AD" w:rsidRDefault="004634AD" w:rsidP="004634AD">
            <w:pPr>
              <w:spacing w:after="0"/>
              <w:jc w:val="center"/>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2017</w:t>
            </w:r>
          </w:p>
        </w:tc>
      </w:tr>
      <w:tr w:rsidR="00E137F0" w:rsidRPr="004634AD" w14:paraId="26DBF0A1" w14:textId="77777777" w:rsidTr="00081E71">
        <w:trPr>
          <w:trHeight w:val="330"/>
        </w:trPr>
        <w:tc>
          <w:tcPr>
            <w:tcW w:w="1114" w:type="pct"/>
            <w:tcBorders>
              <w:top w:val="nil"/>
              <w:left w:val="single" w:sz="8" w:space="0" w:color="FFFFFF"/>
              <w:bottom w:val="single" w:sz="8" w:space="0" w:color="FFFFFF"/>
              <w:right w:val="single" w:sz="8" w:space="0" w:color="FFFFFF"/>
            </w:tcBorders>
            <w:shd w:val="clear" w:color="000000" w:fill="008C9B"/>
            <w:vAlign w:val="center"/>
          </w:tcPr>
          <w:p w14:paraId="172FE3DD" w14:textId="5EAB2348" w:rsidR="00E137F0" w:rsidRPr="004634AD" w:rsidRDefault="00E137F0" w:rsidP="00E137F0">
            <w:pPr>
              <w:spacing w:after="0"/>
              <w:rPr>
                <w:rFonts w:ascii="Calibri" w:eastAsia="Times New Roman" w:hAnsi="Calibri"/>
                <w:b/>
                <w:bCs/>
                <w:color w:val="FFFFFF"/>
                <w:sz w:val="20"/>
                <w:lang w:eastAsia="en-GB"/>
              </w:rPr>
            </w:pPr>
            <w:r>
              <w:rPr>
                <w:rFonts w:ascii="Calibri" w:eastAsia="Times New Roman" w:hAnsi="Calibri"/>
                <w:b/>
                <w:bCs/>
                <w:color w:val="FFFFFF"/>
                <w:sz w:val="20"/>
                <w:lang w:eastAsia="en-GB"/>
              </w:rPr>
              <w:t>UK economy</w:t>
            </w:r>
          </w:p>
        </w:tc>
        <w:tc>
          <w:tcPr>
            <w:tcW w:w="466" w:type="pct"/>
            <w:tcBorders>
              <w:top w:val="nil"/>
              <w:left w:val="nil"/>
              <w:bottom w:val="single" w:sz="8" w:space="0" w:color="FFFFFF"/>
              <w:right w:val="single" w:sz="8" w:space="0" w:color="FFFFFF"/>
            </w:tcBorders>
            <w:shd w:val="clear" w:color="auto" w:fill="D0CECE"/>
            <w:vAlign w:val="center"/>
          </w:tcPr>
          <w:p w14:paraId="234542FE" w14:textId="2B56DC60"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£46,215</w:t>
            </w:r>
          </w:p>
        </w:tc>
        <w:tc>
          <w:tcPr>
            <w:tcW w:w="466" w:type="pct"/>
            <w:tcBorders>
              <w:top w:val="nil"/>
              <w:left w:val="nil"/>
              <w:bottom w:val="single" w:sz="8" w:space="0" w:color="FFFFFF"/>
              <w:right w:val="single" w:sz="8" w:space="0" w:color="FFFFFF"/>
            </w:tcBorders>
            <w:shd w:val="clear" w:color="auto" w:fill="D0CECE"/>
            <w:vAlign w:val="center"/>
          </w:tcPr>
          <w:p w14:paraId="3327DC79" w14:textId="3E511455"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£47,176</w:t>
            </w:r>
          </w:p>
        </w:tc>
        <w:tc>
          <w:tcPr>
            <w:tcW w:w="519" w:type="pct"/>
            <w:tcBorders>
              <w:top w:val="nil"/>
              <w:left w:val="nil"/>
              <w:bottom w:val="single" w:sz="8" w:space="0" w:color="FFFFFF"/>
              <w:right w:val="single" w:sz="8" w:space="0" w:color="FFFFFF"/>
            </w:tcBorders>
            <w:shd w:val="clear" w:color="auto" w:fill="D0CECE"/>
            <w:vAlign w:val="center"/>
          </w:tcPr>
          <w:p w14:paraId="1B41CB67" w14:textId="4785E954"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£48,355</w:t>
            </w:r>
          </w:p>
        </w:tc>
        <w:tc>
          <w:tcPr>
            <w:tcW w:w="519" w:type="pct"/>
            <w:tcBorders>
              <w:top w:val="nil"/>
              <w:left w:val="nil"/>
              <w:bottom w:val="single" w:sz="8" w:space="0" w:color="FFFFFF"/>
              <w:right w:val="single" w:sz="8" w:space="0" w:color="FFFFFF"/>
            </w:tcBorders>
            <w:shd w:val="clear" w:color="auto" w:fill="D0CECE"/>
            <w:vAlign w:val="center"/>
          </w:tcPr>
          <w:p w14:paraId="4624DFCC" w14:textId="77551D4B"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£49,691</w:t>
            </w:r>
          </w:p>
        </w:tc>
        <w:tc>
          <w:tcPr>
            <w:tcW w:w="519" w:type="pct"/>
            <w:tcBorders>
              <w:top w:val="nil"/>
              <w:left w:val="nil"/>
              <w:bottom w:val="single" w:sz="8" w:space="0" w:color="FFFFFF"/>
              <w:right w:val="single" w:sz="8" w:space="0" w:color="FFFFFF"/>
            </w:tcBorders>
            <w:shd w:val="clear" w:color="auto" w:fill="D0CECE"/>
            <w:vAlign w:val="center"/>
          </w:tcPr>
          <w:p w14:paraId="0FAA637D" w14:textId="1751C806"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£50,877</w:t>
            </w:r>
          </w:p>
        </w:tc>
        <w:tc>
          <w:tcPr>
            <w:tcW w:w="466" w:type="pct"/>
            <w:tcBorders>
              <w:top w:val="nil"/>
              <w:left w:val="nil"/>
              <w:bottom w:val="single" w:sz="8" w:space="0" w:color="FFFFFF"/>
              <w:right w:val="single" w:sz="8" w:space="0" w:color="FFFFFF"/>
            </w:tcBorders>
            <w:shd w:val="clear" w:color="auto" w:fill="D0CECE"/>
            <w:vAlign w:val="center"/>
          </w:tcPr>
          <w:p w14:paraId="16B765BD" w14:textId="377358BC"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£51,619</w:t>
            </w:r>
          </w:p>
        </w:tc>
        <w:tc>
          <w:tcPr>
            <w:tcW w:w="466" w:type="pct"/>
            <w:tcBorders>
              <w:top w:val="nil"/>
              <w:left w:val="nil"/>
              <w:bottom w:val="single" w:sz="8" w:space="0" w:color="FFFFFF"/>
              <w:right w:val="single" w:sz="8" w:space="0" w:color="FFFFFF"/>
            </w:tcBorders>
            <w:shd w:val="clear" w:color="auto" w:fill="D0CECE"/>
            <w:vAlign w:val="center"/>
          </w:tcPr>
          <w:p w14:paraId="14C6C766" w14:textId="5F1FF3DF"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£53,013</w:t>
            </w:r>
          </w:p>
        </w:tc>
        <w:tc>
          <w:tcPr>
            <w:tcW w:w="466" w:type="pct"/>
            <w:tcBorders>
              <w:top w:val="nil"/>
              <w:left w:val="nil"/>
              <w:bottom w:val="single" w:sz="8" w:space="0" w:color="FFFFFF"/>
              <w:right w:val="single" w:sz="8" w:space="0" w:color="FFFFFF"/>
            </w:tcBorders>
            <w:shd w:val="clear" w:color="auto" w:fill="D0CECE"/>
            <w:vAlign w:val="center"/>
          </w:tcPr>
          <w:p w14:paraId="28DC4F53" w14:textId="67DB881A" w:rsidR="00E137F0" w:rsidRPr="004634AD" w:rsidRDefault="00E137F0" w:rsidP="00E137F0">
            <w:pPr>
              <w:spacing w:after="0"/>
              <w:jc w:val="center"/>
              <w:rPr>
                <w:rFonts w:ascii="Calibri" w:eastAsia="Times New Roman" w:hAnsi="Calibri"/>
                <w:b/>
                <w:bCs/>
                <w:color w:val="000000"/>
                <w:sz w:val="20"/>
                <w:lang w:eastAsia="en-GB"/>
              </w:rPr>
            </w:pPr>
            <w:r w:rsidRPr="009A5306">
              <w:rPr>
                <w:rFonts w:ascii="Calibri" w:eastAsia="Times New Roman" w:hAnsi="Calibri"/>
                <w:color w:val="000000"/>
                <w:sz w:val="20"/>
                <w:lang w:eastAsia="en-GB"/>
              </w:rPr>
              <w:t>£54,330</w:t>
            </w:r>
          </w:p>
        </w:tc>
      </w:tr>
      <w:tr w:rsidR="00E137F0" w:rsidRPr="004634AD" w14:paraId="192D7875" w14:textId="77777777" w:rsidTr="00081E71">
        <w:trPr>
          <w:trHeight w:val="330"/>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2AE523BE" w14:textId="72A49587" w:rsidR="00E137F0" w:rsidRPr="004634AD" w:rsidRDefault="00E137F0" w:rsidP="00E137F0">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 xml:space="preserve">UK </w:t>
            </w:r>
            <w:r w:rsidR="00654BBE">
              <w:rPr>
                <w:rFonts w:ascii="Calibri" w:eastAsia="Times New Roman" w:hAnsi="Calibri"/>
                <w:b/>
                <w:bCs/>
                <w:color w:val="FFFFFF"/>
                <w:sz w:val="20"/>
                <w:lang w:eastAsia="en-GB"/>
              </w:rPr>
              <w:t>Maritime Sector</w:t>
            </w:r>
          </w:p>
        </w:tc>
        <w:tc>
          <w:tcPr>
            <w:tcW w:w="466" w:type="pct"/>
            <w:tcBorders>
              <w:top w:val="nil"/>
              <w:left w:val="nil"/>
              <w:bottom w:val="single" w:sz="8" w:space="0" w:color="FFFFFF"/>
              <w:right w:val="single" w:sz="8" w:space="0" w:color="FFFFFF"/>
            </w:tcBorders>
            <w:shd w:val="clear" w:color="auto" w:fill="E7EEEF"/>
            <w:vAlign w:val="center"/>
            <w:hideMark/>
          </w:tcPr>
          <w:p w14:paraId="3398FB07"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£69,760</w:t>
            </w:r>
          </w:p>
        </w:tc>
        <w:tc>
          <w:tcPr>
            <w:tcW w:w="466" w:type="pct"/>
            <w:tcBorders>
              <w:top w:val="nil"/>
              <w:left w:val="nil"/>
              <w:bottom w:val="single" w:sz="8" w:space="0" w:color="FFFFFF"/>
              <w:right w:val="single" w:sz="8" w:space="0" w:color="FFFFFF"/>
            </w:tcBorders>
            <w:shd w:val="clear" w:color="auto" w:fill="E7EEEF"/>
            <w:vAlign w:val="center"/>
            <w:hideMark/>
          </w:tcPr>
          <w:p w14:paraId="0EE31A11"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£68,554</w:t>
            </w:r>
          </w:p>
        </w:tc>
        <w:tc>
          <w:tcPr>
            <w:tcW w:w="519" w:type="pct"/>
            <w:tcBorders>
              <w:top w:val="nil"/>
              <w:left w:val="nil"/>
              <w:bottom w:val="single" w:sz="8" w:space="0" w:color="FFFFFF"/>
              <w:right w:val="single" w:sz="8" w:space="0" w:color="FFFFFF"/>
            </w:tcBorders>
            <w:shd w:val="clear" w:color="auto" w:fill="E7EEEF"/>
            <w:vAlign w:val="center"/>
            <w:hideMark/>
          </w:tcPr>
          <w:p w14:paraId="396BCA31"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£78,170</w:t>
            </w:r>
          </w:p>
        </w:tc>
        <w:tc>
          <w:tcPr>
            <w:tcW w:w="519" w:type="pct"/>
            <w:tcBorders>
              <w:top w:val="nil"/>
              <w:left w:val="nil"/>
              <w:bottom w:val="single" w:sz="8" w:space="0" w:color="FFFFFF"/>
              <w:right w:val="single" w:sz="8" w:space="0" w:color="FFFFFF"/>
            </w:tcBorders>
            <w:shd w:val="clear" w:color="auto" w:fill="E7EEEF"/>
            <w:vAlign w:val="center"/>
            <w:hideMark/>
          </w:tcPr>
          <w:p w14:paraId="77388AFC"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£74,721</w:t>
            </w:r>
          </w:p>
        </w:tc>
        <w:tc>
          <w:tcPr>
            <w:tcW w:w="519" w:type="pct"/>
            <w:tcBorders>
              <w:top w:val="nil"/>
              <w:left w:val="nil"/>
              <w:bottom w:val="single" w:sz="8" w:space="0" w:color="FFFFFF"/>
              <w:right w:val="single" w:sz="8" w:space="0" w:color="FFFFFF"/>
            </w:tcBorders>
            <w:shd w:val="clear" w:color="auto" w:fill="E7EEEF"/>
            <w:vAlign w:val="center"/>
            <w:hideMark/>
          </w:tcPr>
          <w:p w14:paraId="4F38CB26"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£75,599</w:t>
            </w:r>
          </w:p>
        </w:tc>
        <w:tc>
          <w:tcPr>
            <w:tcW w:w="466" w:type="pct"/>
            <w:tcBorders>
              <w:top w:val="nil"/>
              <w:left w:val="nil"/>
              <w:bottom w:val="single" w:sz="8" w:space="0" w:color="FFFFFF"/>
              <w:right w:val="single" w:sz="8" w:space="0" w:color="FFFFFF"/>
            </w:tcBorders>
            <w:shd w:val="clear" w:color="auto" w:fill="E7EEEF"/>
            <w:vAlign w:val="center"/>
            <w:hideMark/>
          </w:tcPr>
          <w:p w14:paraId="50D65655"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£75,209</w:t>
            </w:r>
          </w:p>
        </w:tc>
        <w:tc>
          <w:tcPr>
            <w:tcW w:w="466" w:type="pct"/>
            <w:tcBorders>
              <w:top w:val="nil"/>
              <w:left w:val="nil"/>
              <w:bottom w:val="single" w:sz="8" w:space="0" w:color="FFFFFF"/>
              <w:right w:val="single" w:sz="8" w:space="0" w:color="FFFFFF"/>
            </w:tcBorders>
            <w:shd w:val="clear" w:color="auto" w:fill="E7EEEF"/>
            <w:vAlign w:val="center"/>
            <w:hideMark/>
          </w:tcPr>
          <w:p w14:paraId="49BAD970"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£74,609</w:t>
            </w:r>
          </w:p>
        </w:tc>
        <w:tc>
          <w:tcPr>
            <w:tcW w:w="466" w:type="pct"/>
            <w:tcBorders>
              <w:top w:val="nil"/>
              <w:left w:val="nil"/>
              <w:bottom w:val="single" w:sz="8" w:space="0" w:color="FFFFFF"/>
              <w:right w:val="single" w:sz="8" w:space="0" w:color="FFFFFF"/>
            </w:tcBorders>
            <w:shd w:val="clear" w:color="auto" w:fill="E7EEEF"/>
            <w:vAlign w:val="center"/>
            <w:hideMark/>
          </w:tcPr>
          <w:p w14:paraId="2034805F" w14:textId="77777777" w:rsidR="00E137F0" w:rsidRPr="00E137F0" w:rsidRDefault="00E137F0" w:rsidP="00E137F0">
            <w:pPr>
              <w:spacing w:after="0"/>
              <w:jc w:val="center"/>
              <w:rPr>
                <w:rFonts w:ascii="Calibri" w:eastAsia="Times New Roman" w:hAnsi="Calibri"/>
                <w:bCs/>
                <w:color w:val="000000"/>
                <w:sz w:val="20"/>
                <w:lang w:eastAsia="en-GB"/>
              </w:rPr>
            </w:pPr>
            <w:r w:rsidRPr="00E137F0">
              <w:rPr>
                <w:rFonts w:ascii="Calibri" w:eastAsia="Times New Roman" w:hAnsi="Calibri"/>
                <w:bCs/>
                <w:color w:val="000000"/>
                <w:sz w:val="20"/>
                <w:lang w:eastAsia="en-GB"/>
              </w:rPr>
              <w:t>£77,358</w:t>
            </w:r>
          </w:p>
        </w:tc>
      </w:tr>
      <w:tr w:rsidR="00E137F0" w:rsidRPr="004634AD" w14:paraId="50488494"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0072DFF9" w14:textId="10F47EF3" w:rsidR="00E137F0" w:rsidRPr="004634AD" w:rsidRDefault="00E137F0" w:rsidP="00E137F0">
            <w:pPr>
              <w:spacing w:after="0"/>
              <w:rPr>
                <w:rFonts w:ascii="Calibri" w:eastAsia="Times New Roman" w:hAnsi="Calibri"/>
                <w:b/>
                <w:bCs/>
                <w:color w:val="FFFFFF"/>
                <w:sz w:val="20"/>
                <w:lang w:eastAsia="en-GB"/>
              </w:rPr>
            </w:pPr>
            <w:r w:rsidRPr="004634AD">
              <w:rPr>
                <w:rFonts w:ascii="Calibri" w:eastAsia="Times New Roman" w:hAnsi="Calibri"/>
                <w:b/>
                <w:bCs/>
                <w:color w:val="FFFFFF"/>
                <w:sz w:val="20"/>
                <w:lang w:eastAsia="en-GB"/>
              </w:rPr>
              <w:t xml:space="preserve">Wales </w:t>
            </w:r>
            <w:r w:rsidR="00654BBE">
              <w:rPr>
                <w:rFonts w:ascii="Calibri" w:eastAsia="Times New Roman" w:hAnsi="Calibri"/>
                <w:b/>
                <w:bCs/>
                <w:color w:val="FFFFFF"/>
                <w:sz w:val="20"/>
                <w:lang w:eastAsia="en-GB"/>
              </w:rPr>
              <w:t>Maritime Sector</w:t>
            </w:r>
          </w:p>
        </w:tc>
        <w:tc>
          <w:tcPr>
            <w:tcW w:w="466" w:type="pct"/>
            <w:tcBorders>
              <w:top w:val="nil"/>
              <w:left w:val="nil"/>
              <w:bottom w:val="single" w:sz="8" w:space="0" w:color="FFFFFF"/>
              <w:right w:val="single" w:sz="8" w:space="0" w:color="FFFFFF"/>
            </w:tcBorders>
            <w:shd w:val="clear" w:color="auto" w:fill="D0CECE"/>
            <w:vAlign w:val="center"/>
            <w:hideMark/>
          </w:tcPr>
          <w:p w14:paraId="5207012A"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£47,510</w:t>
            </w:r>
          </w:p>
        </w:tc>
        <w:tc>
          <w:tcPr>
            <w:tcW w:w="466" w:type="pct"/>
            <w:tcBorders>
              <w:top w:val="nil"/>
              <w:left w:val="nil"/>
              <w:bottom w:val="single" w:sz="8" w:space="0" w:color="FFFFFF"/>
              <w:right w:val="single" w:sz="8" w:space="0" w:color="FFFFFF"/>
            </w:tcBorders>
            <w:shd w:val="clear" w:color="auto" w:fill="D0CECE"/>
            <w:vAlign w:val="center"/>
            <w:hideMark/>
          </w:tcPr>
          <w:p w14:paraId="71C47A74"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£50,812</w:t>
            </w:r>
          </w:p>
        </w:tc>
        <w:tc>
          <w:tcPr>
            <w:tcW w:w="519" w:type="pct"/>
            <w:tcBorders>
              <w:top w:val="nil"/>
              <w:left w:val="nil"/>
              <w:bottom w:val="single" w:sz="8" w:space="0" w:color="FFFFFF"/>
              <w:right w:val="single" w:sz="8" w:space="0" w:color="FFFFFF"/>
            </w:tcBorders>
            <w:shd w:val="clear" w:color="auto" w:fill="D0CECE"/>
            <w:vAlign w:val="center"/>
            <w:hideMark/>
          </w:tcPr>
          <w:p w14:paraId="199AA369"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£62,496</w:t>
            </w:r>
          </w:p>
        </w:tc>
        <w:tc>
          <w:tcPr>
            <w:tcW w:w="519" w:type="pct"/>
            <w:tcBorders>
              <w:top w:val="nil"/>
              <w:left w:val="nil"/>
              <w:bottom w:val="single" w:sz="8" w:space="0" w:color="FFFFFF"/>
              <w:right w:val="single" w:sz="8" w:space="0" w:color="FFFFFF"/>
            </w:tcBorders>
            <w:shd w:val="clear" w:color="auto" w:fill="D0CECE"/>
            <w:vAlign w:val="center"/>
            <w:hideMark/>
          </w:tcPr>
          <w:p w14:paraId="5C7BC2F1"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£54,334</w:t>
            </w:r>
          </w:p>
        </w:tc>
        <w:tc>
          <w:tcPr>
            <w:tcW w:w="519" w:type="pct"/>
            <w:tcBorders>
              <w:top w:val="nil"/>
              <w:left w:val="nil"/>
              <w:bottom w:val="single" w:sz="8" w:space="0" w:color="FFFFFF"/>
              <w:right w:val="single" w:sz="8" w:space="0" w:color="FFFFFF"/>
            </w:tcBorders>
            <w:shd w:val="clear" w:color="auto" w:fill="D0CECE"/>
            <w:vAlign w:val="center"/>
            <w:hideMark/>
          </w:tcPr>
          <w:p w14:paraId="12F2828D"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£61,878</w:t>
            </w:r>
          </w:p>
        </w:tc>
        <w:tc>
          <w:tcPr>
            <w:tcW w:w="466" w:type="pct"/>
            <w:tcBorders>
              <w:top w:val="nil"/>
              <w:left w:val="nil"/>
              <w:bottom w:val="single" w:sz="8" w:space="0" w:color="FFFFFF"/>
              <w:right w:val="single" w:sz="8" w:space="0" w:color="FFFFFF"/>
            </w:tcBorders>
            <w:shd w:val="clear" w:color="auto" w:fill="D0CECE"/>
            <w:vAlign w:val="center"/>
            <w:hideMark/>
          </w:tcPr>
          <w:p w14:paraId="7C871D62"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£60,834</w:t>
            </w:r>
          </w:p>
        </w:tc>
        <w:tc>
          <w:tcPr>
            <w:tcW w:w="466" w:type="pct"/>
            <w:tcBorders>
              <w:top w:val="nil"/>
              <w:left w:val="nil"/>
              <w:bottom w:val="single" w:sz="8" w:space="0" w:color="FFFFFF"/>
              <w:right w:val="single" w:sz="8" w:space="0" w:color="FFFFFF"/>
            </w:tcBorders>
            <w:shd w:val="clear" w:color="auto" w:fill="D0CECE"/>
            <w:vAlign w:val="center"/>
            <w:hideMark/>
          </w:tcPr>
          <w:p w14:paraId="667F2159"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£66,735</w:t>
            </w:r>
          </w:p>
        </w:tc>
        <w:tc>
          <w:tcPr>
            <w:tcW w:w="466" w:type="pct"/>
            <w:tcBorders>
              <w:top w:val="nil"/>
              <w:left w:val="nil"/>
              <w:bottom w:val="single" w:sz="8" w:space="0" w:color="FFFFFF"/>
              <w:right w:val="single" w:sz="8" w:space="0" w:color="FFFFFF"/>
            </w:tcBorders>
            <w:shd w:val="clear" w:color="auto" w:fill="D0CECE"/>
            <w:vAlign w:val="center"/>
            <w:hideMark/>
          </w:tcPr>
          <w:p w14:paraId="362F5123" w14:textId="77777777" w:rsidR="00E137F0" w:rsidRPr="004634AD" w:rsidRDefault="00E137F0" w:rsidP="00E137F0">
            <w:pPr>
              <w:spacing w:after="0"/>
              <w:jc w:val="center"/>
              <w:rPr>
                <w:rFonts w:ascii="Calibri" w:eastAsia="Times New Roman" w:hAnsi="Calibri"/>
                <w:b/>
                <w:bCs/>
                <w:color w:val="000000"/>
                <w:sz w:val="20"/>
                <w:lang w:eastAsia="en-GB"/>
              </w:rPr>
            </w:pPr>
            <w:r w:rsidRPr="004634AD">
              <w:rPr>
                <w:rFonts w:ascii="Calibri" w:eastAsia="Times New Roman" w:hAnsi="Calibri"/>
                <w:b/>
                <w:bCs/>
                <w:color w:val="000000"/>
                <w:sz w:val="20"/>
                <w:lang w:eastAsia="en-GB"/>
              </w:rPr>
              <w:t>£62,818</w:t>
            </w:r>
          </w:p>
        </w:tc>
      </w:tr>
      <w:tr w:rsidR="00E137F0" w:rsidRPr="004634AD" w14:paraId="71DC5712"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09130BF1"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Shipping</w:t>
            </w:r>
          </w:p>
        </w:tc>
        <w:tc>
          <w:tcPr>
            <w:tcW w:w="466" w:type="pct"/>
            <w:tcBorders>
              <w:top w:val="nil"/>
              <w:left w:val="nil"/>
              <w:bottom w:val="single" w:sz="8" w:space="0" w:color="FFFFFF"/>
              <w:right w:val="single" w:sz="8" w:space="0" w:color="FFFFFF"/>
            </w:tcBorders>
            <w:shd w:val="clear" w:color="auto" w:fill="E7EEEF"/>
            <w:vAlign w:val="center"/>
            <w:hideMark/>
          </w:tcPr>
          <w:p w14:paraId="3ABDDEC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£55,036</w:t>
            </w:r>
          </w:p>
        </w:tc>
        <w:tc>
          <w:tcPr>
            <w:tcW w:w="466" w:type="pct"/>
            <w:tcBorders>
              <w:top w:val="nil"/>
              <w:left w:val="nil"/>
              <w:bottom w:val="single" w:sz="8" w:space="0" w:color="FFFFFF"/>
              <w:right w:val="single" w:sz="8" w:space="0" w:color="FFFFFF"/>
            </w:tcBorders>
            <w:shd w:val="clear" w:color="auto" w:fill="E7EEEF"/>
            <w:vAlign w:val="center"/>
            <w:hideMark/>
          </w:tcPr>
          <w:p w14:paraId="2118B4BD"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£61,538</w:t>
            </w:r>
          </w:p>
        </w:tc>
        <w:tc>
          <w:tcPr>
            <w:tcW w:w="519" w:type="pct"/>
            <w:tcBorders>
              <w:top w:val="nil"/>
              <w:left w:val="nil"/>
              <w:bottom w:val="single" w:sz="8" w:space="0" w:color="FFFFFF"/>
              <w:right w:val="single" w:sz="8" w:space="0" w:color="FFFFFF"/>
            </w:tcBorders>
            <w:shd w:val="clear" w:color="auto" w:fill="E7EEEF"/>
            <w:vAlign w:val="center"/>
            <w:hideMark/>
          </w:tcPr>
          <w:p w14:paraId="4BDA89D5"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£71,137</w:t>
            </w:r>
          </w:p>
        </w:tc>
        <w:tc>
          <w:tcPr>
            <w:tcW w:w="519" w:type="pct"/>
            <w:tcBorders>
              <w:top w:val="nil"/>
              <w:left w:val="nil"/>
              <w:bottom w:val="single" w:sz="8" w:space="0" w:color="FFFFFF"/>
              <w:right w:val="single" w:sz="8" w:space="0" w:color="FFFFFF"/>
            </w:tcBorders>
            <w:shd w:val="clear" w:color="auto" w:fill="E7EEEF"/>
            <w:vAlign w:val="center"/>
            <w:hideMark/>
          </w:tcPr>
          <w:p w14:paraId="19E67BA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£55,082</w:t>
            </w:r>
          </w:p>
        </w:tc>
        <w:tc>
          <w:tcPr>
            <w:tcW w:w="519" w:type="pct"/>
            <w:tcBorders>
              <w:top w:val="nil"/>
              <w:left w:val="nil"/>
              <w:bottom w:val="single" w:sz="8" w:space="0" w:color="FFFFFF"/>
              <w:right w:val="single" w:sz="8" w:space="0" w:color="FFFFFF"/>
            </w:tcBorders>
            <w:shd w:val="clear" w:color="auto" w:fill="E7EEEF"/>
            <w:vAlign w:val="center"/>
            <w:hideMark/>
          </w:tcPr>
          <w:p w14:paraId="3A23B11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£70,715</w:t>
            </w:r>
          </w:p>
        </w:tc>
        <w:tc>
          <w:tcPr>
            <w:tcW w:w="466" w:type="pct"/>
            <w:tcBorders>
              <w:top w:val="nil"/>
              <w:left w:val="nil"/>
              <w:bottom w:val="single" w:sz="8" w:space="0" w:color="FFFFFF"/>
              <w:right w:val="single" w:sz="8" w:space="0" w:color="FFFFFF"/>
            </w:tcBorders>
            <w:shd w:val="clear" w:color="auto" w:fill="E7EEEF"/>
            <w:vAlign w:val="center"/>
            <w:hideMark/>
          </w:tcPr>
          <w:p w14:paraId="064E2C0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£72,957</w:t>
            </w:r>
          </w:p>
        </w:tc>
        <w:tc>
          <w:tcPr>
            <w:tcW w:w="466" w:type="pct"/>
            <w:tcBorders>
              <w:top w:val="nil"/>
              <w:left w:val="nil"/>
              <w:bottom w:val="single" w:sz="8" w:space="0" w:color="FFFFFF"/>
              <w:right w:val="single" w:sz="8" w:space="0" w:color="FFFFFF"/>
            </w:tcBorders>
            <w:shd w:val="clear" w:color="auto" w:fill="E7EEEF"/>
            <w:vAlign w:val="center"/>
            <w:hideMark/>
          </w:tcPr>
          <w:p w14:paraId="7FFCE75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£86,236</w:t>
            </w:r>
          </w:p>
        </w:tc>
        <w:tc>
          <w:tcPr>
            <w:tcW w:w="466" w:type="pct"/>
            <w:tcBorders>
              <w:top w:val="nil"/>
              <w:left w:val="nil"/>
              <w:bottom w:val="single" w:sz="8" w:space="0" w:color="FFFFFF"/>
              <w:right w:val="single" w:sz="8" w:space="0" w:color="FFFFFF"/>
            </w:tcBorders>
            <w:shd w:val="clear" w:color="auto" w:fill="E7EEEF"/>
            <w:vAlign w:val="center"/>
            <w:hideMark/>
          </w:tcPr>
          <w:p w14:paraId="244478D5"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£92,259</w:t>
            </w:r>
          </w:p>
        </w:tc>
      </w:tr>
      <w:tr w:rsidR="00E137F0" w:rsidRPr="004634AD" w14:paraId="00E1E666"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2D05499F"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Ports</w:t>
            </w:r>
          </w:p>
        </w:tc>
        <w:tc>
          <w:tcPr>
            <w:tcW w:w="466" w:type="pct"/>
            <w:tcBorders>
              <w:top w:val="nil"/>
              <w:left w:val="nil"/>
              <w:bottom w:val="single" w:sz="8" w:space="0" w:color="FFFFFF"/>
              <w:right w:val="single" w:sz="8" w:space="0" w:color="FFFFFF"/>
            </w:tcBorders>
            <w:shd w:val="clear" w:color="auto" w:fill="D0CECE"/>
            <w:vAlign w:val="center"/>
            <w:hideMark/>
          </w:tcPr>
          <w:p w14:paraId="3EE62AC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£47,790</w:t>
            </w:r>
          </w:p>
        </w:tc>
        <w:tc>
          <w:tcPr>
            <w:tcW w:w="466" w:type="pct"/>
            <w:tcBorders>
              <w:top w:val="nil"/>
              <w:left w:val="nil"/>
              <w:bottom w:val="single" w:sz="8" w:space="0" w:color="FFFFFF"/>
              <w:right w:val="single" w:sz="8" w:space="0" w:color="FFFFFF"/>
            </w:tcBorders>
            <w:shd w:val="clear" w:color="auto" w:fill="D0CECE"/>
            <w:vAlign w:val="center"/>
            <w:hideMark/>
          </w:tcPr>
          <w:p w14:paraId="1F051D12"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£43,706</w:t>
            </w:r>
          </w:p>
        </w:tc>
        <w:tc>
          <w:tcPr>
            <w:tcW w:w="519" w:type="pct"/>
            <w:tcBorders>
              <w:top w:val="nil"/>
              <w:left w:val="nil"/>
              <w:bottom w:val="single" w:sz="8" w:space="0" w:color="FFFFFF"/>
              <w:right w:val="single" w:sz="8" w:space="0" w:color="FFFFFF"/>
            </w:tcBorders>
            <w:shd w:val="clear" w:color="auto" w:fill="D0CECE"/>
            <w:vAlign w:val="center"/>
            <w:hideMark/>
          </w:tcPr>
          <w:p w14:paraId="2238F52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£69,795</w:t>
            </w:r>
          </w:p>
        </w:tc>
        <w:tc>
          <w:tcPr>
            <w:tcW w:w="519" w:type="pct"/>
            <w:tcBorders>
              <w:top w:val="nil"/>
              <w:left w:val="nil"/>
              <w:bottom w:val="single" w:sz="8" w:space="0" w:color="FFFFFF"/>
              <w:right w:val="single" w:sz="8" w:space="0" w:color="FFFFFF"/>
            </w:tcBorders>
            <w:shd w:val="clear" w:color="auto" w:fill="D0CECE"/>
            <w:vAlign w:val="center"/>
            <w:hideMark/>
          </w:tcPr>
          <w:p w14:paraId="7E21F384"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£54,325</w:t>
            </w:r>
          </w:p>
        </w:tc>
        <w:tc>
          <w:tcPr>
            <w:tcW w:w="519" w:type="pct"/>
            <w:tcBorders>
              <w:top w:val="nil"/>
              <w:left w:val="nil"/>
              <w:bottom w:val="single" w:sz="8" w:space="0" w:color="FFFFFF"/>
              <w:right w:val="single" w:sz="8" w:space="0" w:color="FFFFFF"/>
            </w:tcBorders>
            <w:shd w:val="clear" w:color="auto" w:fill="D0CECE"/>
            <w:vAlign w:val="center"/>
            <w:hideMark/>
          </w:tcPr>
          <w:p w14:paraId="7788160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£59,438</w:t>
            </w:r>
          </w:p>
        </w:tc>
        <w:tc>
          <w:tcPr>
            <w:tcW w:w="466" w:type="pct"/>
            <w:tcBorders>
              <w:top w:val="nil"/>
              <w:left w:val="nil"/>
              <w:bottom w:val="single" w:sz="8" w:space="0" w:color="FFFFFF"/>
              <w:right w:val="single" w:sz="8" w:space="0" w:color="FFFFFF"/>
            </w:tcBorders>
            <w:shd w:val="clear" w:color="auto" w:fill="D0CECE"/>
            <w:vAlign w:val="center"/>
            <w:hideMark/>
          </w:tcPr>
          <w:p w14:paraId="3AC2B76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£51,528</w:t>
            </w:r>
          </w:p>
        </w:tc>
        <w:tc>
          <w:tcPr>
            <w:tcW w:w="466" w:type="pct"/>
            <w:tcBorders>
              <w:top w:val="nil"/>
              <w:left w:val="nil"/>
              <w:bottom w:val="single" w:sz="8" w:space="0" w:color="FFFFFF"/>
              <w:right w:val="single" w:sz="8" w:space="0" w:color="FFFFFF"/>
            </w:tcBorders>
            <w:shd w:val="clear" w:color="auto" w:fill="D0CECE"/>
            <w:vAlign w:val="center"/>
            <w:hideMark/>
          </w:tcPr>
          <w:p w14:paraId="5B01E92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£55,412</w:t>
            </w:r>
          </w:p>
        </w:tc>
        <w:tc>
          <w:tcPr>
            <w:tcW w:w="466" w:type="pct"/>
            <w:tcBorders>
              <w:top w:val="nil"/>
              <w:left w:val="nil"/>
              <w:bottom w:val="single" w:sz="8" w:space="0" w:color="FFFFFF"/>
              <w:right w:val="single" w:sz="8" w:space="0" w:color="FFFFFF"/>
            </w:tcBorders>
            <w:shd w:val="clear" w:color="auto" w:fill="D0CECE"/>
            <w:vAlign w:val="center"/>
            <w:hideMark/>
          </w:tcPr>
          <w:p w14:paraId="735AE3C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£60,595</w:t>
            </w:r>
          </w:p>
        </w:tc>
      </w:tr>
      <w:tr w:rsidR="00E137F0" w:rsidRPr="004634AD" w14:paraId="6F81DA6B"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75509012"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Leisure Marine</w:t>
            </w:r>
          </w:p>
        </w:tc>
        <w:tc>
          <w:tcPr>
            <w:tcW w:w="466" w:type="pct"/>
            <w:tcBorders>
              <w:top w:val="nil"/>
              <w:left w:val="nil"/>
              <w:bottom w:val="single" w:sz="8" w:space="0" w:color="FFFFFF"/>
              <w:right w:val="single" w:sz="8" w:space="0" w:color="FFFFFF"/>
            </w:tcBorders>
            <w:shd w:val="clear" w:color="auto" w:fill="E7EEEF"/>
            <w:vAlign w:val="center"/>
            <w:hideMark/>
          </w:tcPr>
          <w:p w14:paraId="2EB40B8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£24,166</w:t>
            </w:r>
          </w:p>
        </w:tc>
        <w:tc>
          <w:tcPr>
            <w:tcW w:w="466" w:type="pct"/>
            <w:tcBorders>
              <w:top w:val="nil"/>
              <w:left w:val="nil"/>
              <w:bottom w:val="single" w:sz="8" w:space="0" w:color="FFFFFF"/>
              <w:right w:val="single" w:sz="8" w:space="0" w:color="FFFFFF"/>
            </w:tcBorders>
            <w:shd w:val="clear" w:color="auto" w:fill="E7EEEF"/>
            <w:vAlign w:val="center"/>
            <w:hideMark/>
          </w:tcPr>
          <w:p w14:paraId="4C2A611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£24,216</w:t>
            </w:r>
          </w:p>
        </w:tc>
        <w:tc>
          <w:tcPr>
            <w:tcW w:w="519" w:type="pct"/>
            <w:tcBorders>
              <w:top w:val="nil"/>
              <w:left w:val="nil"/>
              <w:bottom w:val="single" w:sz="8" w:space="0" w:color="FFFFFF"/>
              <w:right w:val="single" w:sz="8" w:space="0" w:color="FFFFFF"/>
            </w:tcBorders>
            <w:shd w:val="clear" w:color="auto" w:fill="E7EEEF"/>
            <w:vAlign w:val="center"/>
            <w:hideMark/>
          </w:tcPr>
          <w:p w14:paraId="10DC0B5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£26,203</w:t>
            </w:r>
          </w:p>
        </w:tc>
        <w:tc>
          <w:tcPr>
            <w:tcW w:w="519" w:type="pct"/>
            <w:tcBorders>
              <w:top w:val="nil"/>
              <w:left w:val="nil"/>
              <w:bottom w:val="single" w:sz="8" w:space="0" w:color="FFFFFF"/>
              <w:right w:val="single" w:sz="8" w:space="0" w:color="FFFFFF"/>
            </w:tcBorders>
            <w:shd w:val="clear" w:color="auto" w:fill="E7EEEF"/>
            <w:vAlign w:val="center"/>
            <w:hideMark/>
          </w:tcPr>
          <w:p w14:paraId="64AC1432"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£27,945</w:t>
            </w:r>
          </w:p>
        </w:tc>
        <w:tc>
          <w:tcPr>
            <w:tcW w:w="519" w:type="pct"/>
            <w:tcBorders>
              <w:top w:val="nil"/>
              <w:left w:val="nil"/>
              <w:bottom w:val="single" w:sz="8" w:space="0" w:color="FFFFFF"/>
              <w:right w:val="single" w:sz="8" w:space="0" w:color="FFFFFF"/>
            </w:tcBorders>
            <w:shd w:val="clear" w:color="auto" w:fill="E7EEEF"/>
            <w:vAlign w:val="center"/>
            <w:hideMark/>
          </w:tcPr>
          <w:p w14:paraId="388FAB3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£28,127</w:t>
            </w:r>
          </w:p>
        </w:tc>
        <w:tc>
          <w:tcPr>
            <w:tcW w:w="466" w:type="pct"/>
            <w:tcBorders>
              <w:top w:val="nil"/>
              <w:left w:val="nil"/>
              <w:bottom w:val="single" w:sz="8" w:space="0" w:color="FFFFFF"/>
              <w:right w:val="single" w:sz="8" w:space="0" w:color="FFFFFF"/>
            </w:tcBorders>
            <w:shd w:val="clear" w:color="auto" w:fill="E7EEEF"/>
            <w:vAlign w:val="center"/>
            <w:hideMark/>
          </w:tcPr>
          <w:p w14:paraId="7AA829C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£27,899</w:t>
            </w:r>
          </w:p>
        </w:tc>
        <w:tc>
          <w:tcPr>
            <w:tcW w:w="466" w:type="pct"/>
            <w:tcBorders>
              <w:top w:val="nil"/>
              <w:left w:val="nil"/>
              <w:bottom w:val="single" w:sz="8" w:space="0" w:color="FFFFFF"/>
              <w:right w:val="single" w:sz="8" w:space="0" w:color="FFFFFF"/>
            </w:tcBorders>
            <w:shd w:val="clear" w:color="auto" w:fill="E7EEEF"/>
            <w:vAlign w:val="center"/>
            <w:hideMark/>
          </w:tcPr>
          <w:p w14:paraId="2057BE7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£27,237</w:t>
            </w:r>
          </w:p>
        </w:tc>
        <w:tc>
          <w:tcPr>
            <w:tcW w:w="466" w:type="pct"/>
            <w:tcBorders>
              <w:top w:val="nil"/>
              <w:left w:val="nil"/>
              <w:bottom w:val="single" w:sz="8" w:space="0" w:color="FFFFFF"/>
              <w:right w:val="single" w:sz="8" w:space="0" w:color="FFFFFF"/>
            </w:tcBorders>
            <w:shd w:val="clear" w:color="auto" w:fill="E7EEEF"/>
            <w:vAlign w:val="center"/>
            <w:hideMark/>
          </w:tcPr>
          <w:p w14:paraId="6132A8C8"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£27,592</w:t>
            </w:r>
          </w:p>
        </w:tc>
      </w:tr>
      <w:tr w:rsidR="00E137F0" w:rsidRPr="004634AD" w14:paraId="1FDCE608"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63A52BF0"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Marine Engineering</w:t>
            </w:r>
          </w:p>
        </w:tc>
        <w:tc>
          <w:tcPr>
            <w:tcW w:w="466" w:type="pct"/>
            <w:tcBorders>
              <w:top w:val="nil"/>
              <w:left w:val="nil"/>
              <w:bottom w:val="single" w:sz="8" w:space="0" w:color="FFFFFF"/>
              <w:right w:val="single" w:sz="8" w:space="0" w:color="FFFFFF"/>
            </w:tcBorders>
            <w:shd w:val="clear" w:color="auto" w:fill="D0CECE"/>
            <w:vAlign w:val="center"/>
            <w:hideMark/>
          </w:tcPr>
          <w:p w14:paraId="529373C6"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£38,035</w:t>
            </w:r>
          </w:p>
        </w:tc>
        <w:tc>
          <w:tcPr>
            <w:tcW w:w="466" w:type="pct"/>
            <w:tcBorders>
              <w:top w:val="nil"/>
              <w:left w:val="nil"/>
              <w:bottom w:val="single" w:sz="8" w:space="0" w:color="FFFFFF"/>
              <w:right w:val="single" w:sz="8" w:space="0" w:color="FFFFFF"/>
            </w:tcBorders>
            <w:shd w:val="clear" w:color="auto" w:fill="D0CECE"/>
            <w:vAlign w:val="center"/>
            <w:hideMark/>
          </w:tcPr>
          <w:p w14:paraId="7DCD47BF"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£40,906</w:t>
            </w:r>
          </w:p>
        </w:tc>
        <w:tc>
          <w:tcPr>
            <w:tcW w:w="519" w:type="pct"/>
            <w:tcBorders>
              <w:top w:val="nil"/>
              <w:left w:val="nil"/>
              <w:bottom w:val="single" w:sz="8" w:space="0" w:color="FFFFFF"/>
              <w:right w:val="single" w:sz="8" w:space="0" w:color="FFFFFF"/>
            </w:tcBorders>
            <w:shd w:val="clear" w:color="auto" w:fill="D0CECE"/>
            <w:vAlign w:val="center"/>
            <w:hideMark/>
          </w:tcPr>
          <w:p w14:paraId="47465BE7"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£50,994</w:t>
            </w:r>
          </w:p>
        </w:tc>
        <w:tc>
          <w:tcPr>
            <w:tcW w:w="519" w:type="pct"/>
            <w:tcBorders>
              <w:top w:val="nil"/>
              <w:left w:val="nil"/>
              <w:bottom w:val="single" w:sz="8" w:space="0" w:color="FFFFFF"/>
              <w:right w:val="single" w:sz="8" w:space="0" w:color="FFFFFF"/>
            </w:tcBorders>
            <w:shd w:val="clear" w:color="auto" w:fill="D0CECE"/>
            <w:vAlign w:val="center"/>
            <w:hideMark/>
          </w:tcPr>
          <w:p w14:paraId="71408DF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£55,294</w:t>
            </w:r>
          </w:p>
        </w:tc>
        <w:tc>
          <w:tcPr>
            <w:tcW w:w="519" w:type="pct"/>
            <w:tcBorders>
              <w:top w:val="nil"/>
              <w:left w:val="nil"/>
              <w:bottom w:val="single" w:sz="8" w:space="0" w:color="FFFFFF"/>
              <w:right w:val="single" w:sz="8" w:space="0" w:color="FFFFFF"/>
            </w:tcBorders>
            <w:shd w:val="clear" w:color="auto" w:fill="D0CECE"/>
            <w:vAlign w:val="center"/>
            <w:hideMark/>
          </w:tcPr>
          <w:p w14:paraId="549285BB"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£48,980</w:t>
            </w:r>
          </w:p>
        </w:tc>
        <w:tc>
          <w:tcPr>
            <w:tcW w:w="466" w:type="pct"/>
            <w:tcBorders>
              <w:top w:val="nil"/>
              <w:left w:val="nil"/>
              <w:bottom w:val="single" w:sz="8" w:space="0" w:color="FFFFFF"/>
              <w:right w:val="single" w:sz="8" w:space="0" w:color="FFFFFF"/>
            </w:tcBorders>
            <w:shd w:val="clear" w:color="auto" w:fill="D0CECE"/>
            <w:vAlign w:val="center"/>
            <w:hideMark/>
          </w:tcPr>
          <w:p w14:paraId="14214ADA"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£50,554</w:t>
            </w:r>
          </w:p>
        </w:tc>
        <w:tc>
          <w:tcPr>
            <w:tcW w:w="466" w:type="pct"/>
            <w:tcBorders>
              <w:top w:val="nil"/>
              <w:left w:val="nil"/>
              <w:bottom w:val="single" w:sz="8" w:space="0" w:color="FFFFFF"/>
              <w:right w:val="single" w:sz="8" w:space="0" w:color="FFFFFF"/>
            </w:tcBorders>
            <w:shd w:val="clear" w:color="auto" w:fill="D0CECE"/>
            <w:vAlign w:val="center"/>
            <w:hideMark/>
          </w:tcPr>
          <w:p w14:paraId="5C414098"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£44,283</w:t>
            </w:r>
          </w:p>
        </w:tc>
        <w:tc>
          <w:tcPr>
            <w:tcW w:w="466" w:type="pct"/>
            <w:tcBorders>
              <w:top w:val="nil"/>
              <w:left w:val="nil"/>
              <w:bottom w:val="single" w:sz="8" w:space="0" w:color="FFFFFF"/>
              <w:right w:val="single" w:sz="8" w:space="0" w:color="FFFFFF"/>
            </w:tcBorders>
            <w:shd w:val="clear" w:color="auto" w:fill="D0CECE"/>
            <w:vAlign w:val="center"/>
            <w:hideMark/>
          </w:tcPr>
          <w:p w14:paraId="4E57F849"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£42,198</w:t>
            </w:r>
          </w:p>
        </w:tc>
      </w:tr>
      <w:tr w:rsidR="00E137F0" w:rsidRPr="004634AD" w14:paraId="1920B606" w14:textId="77777777" w:rsidTr="00081E71">
        <w:trPr>
          <w:trHeight w:val="315"/>
        </w:trPr>
        <w:tc>
          <w:tcPr>
            <w:tcW w:w="1114" w:type="pct"/>
            <w:tcBorders>
              <w:top w:val="nil"/>
              <w:left w:val="single" w:sz="8" w:space="0" w:color="FFFFFF"/>
              <w:bottom w:val="single" w:sz="8" w:space="0" w:color="FFFFFF"/>
              <w:right w:val="single" w:sz="8" w:space="0" w:color="FFFFFF"/>
            </w:tcBorders>
            <w:shd w:val="clear" w:color="000000" w:fill="008C9B"/>
            <w:vAlign w:val="center"/>
            <w:hideMark/>
          </w:tcPr>
          <w:p w14:paraId="78718EC1" w14:textId="77777777" w:rsidR="00E137F0" w:rsidRPr="004634AD" w:rsidRDefault="00E137F0" w:rsidP="00E137F0">
            <w:pPr>
              <w:spacing w:after="0"/>
              <w:rPr>
                <w:rFonts w:ascii="Calibri" w:eastAsia="Times New Roman" w:hAnsi="Calibri"/>
                <w:color w:val="FFFFFF"/>
                <w:sz w:val="20"/>
                <w:lang w:eastAsia="en-GB"/>
              </w:rPr>
            </w:pPr>
            <w:r w:rsidRPr="004634AD">
              <w:rPr>
                <w:rFonts w:ascii="Calibri" w:eastAsia="Times New Roman" w:hAnsi="Calibri"/>
                <w:color w:val="FFFFFF"/>
                <w:sz w:val="20"/>
                <w:lang w:eastAsia="en-GB"/>
              </w:rPr>
              <w:t>Maritime Business Services</w:t>
            </w:r>
          </w:p>
        </w:tc>
        <w:tc>
          <w:tcPr>
            <w:tcW w:w="466" w:type="pct"/>
            <w:tcBorders>
              <w:top w:val="nil"/>
              <w:left w:val="nil"/>
              <w:bottom w:val="single" w:sz="8" w:space="0" w:color="FFFFFF"/>
              <w:right w:val="single" w:sz="8" w:space="0" w:color="FFFFFF"/>
            </w:tcBorders>
            <w:shd w:val="clear" w:color="auto" w:fill="E7EEEF"/>
            <w:vAlign w:val="center"/>
            <w:hideMark/>
          </w:tcPr>
          <w:p w14:paraId="377E77C0"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£91,629</w:t>
            </w:r>
          </w:p>
        </w:tc>
        <w:tc>
          <w:tcPr>
            <w:tcW w:w="466" w:type="pct"/>
            <w:tcBorders>
              <w:top w:val="nil"/>
              <w:left w:val="nil"/>
              <w:bottom w:val="single" w:sz="8" w:space="0" w:color="FFFFFF"/>
              <w:right w:val="single" w:sz="8" w:space="0" w:color="FFFFFF"/>
            </w:tcBorders>
            <w:shd w:val="clear" w:color="auto" w:fill="E7EEEF"/>
            <w:vAlign w:val="center"/>
            <w:hideMark/>
          </w:tcPr>
          <w:p w14:paraId="09C4E17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£95,433</w:t>
            </w:r>
          </w:p>
        </w:tc>
        <w:tc>
          <w:tcPr>
            <w:tcW w:w="519" w:type="pct"/>
            <w:tcBorders>
              <w:top w:val="nil"/>
              <w:left w:val="nil"/>
              <w:bottom w:val="single" w:sz="8" w:space="0" w:color="FFFFFF"/>
              <w:right w:val="single" w:sz="8" w:space="0" w:color="FFFFFF"/>
            </w:tcBorders>
            <w:shd w:val="clear" w:color="auto" w:fill="E7EEEF"/>
            <w:vAlign w:val="center"/>
            <w:hideMark/>
          </w:tcPr>
          <w:p w14:paraId="610B18A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£102,961</w:t>
            </w:r>
          </w:p>
        </w:tc>
        <w:tc>
          <w:tcPr>
            <w:tcW w:w="519" w:type="pct"/>
            <w:tcBorders>
              <w:top w:val="nil"/>
              <w:left w:val="nil"/>
              <w:bottom w:val="single" w:sz="8" w:space="0" w:color="FFFFFF"/>
              <w:right w:val="single" w:sz="8" w:space="0" w:color="FFFFFF"/>
            </w:tcBorders>
            <w:shd w:val="clear" w:color="auto" w:fill="E7EEEF"/>
            <w:vAlign w:val="center"/>
            <w:hideMark/>
          </w:tcPr>
          <w:p w14:paraId="01BCB66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£108,660</w:t>
            </w:r>
          </w:p>
        </w:tc>
        <w:tc>
          <w:tcPr>
            <w:tcW w:w="519" w:type="pct"/>
            <w:tcBorders>
              <w:top w:val="nil"/>
              <w:left w:val="nil"/>
              <w:bottom w:val="single" w:sz="8" w:space="0" w:color="FFFFFF"/>
              <w:right w:val="single" w:sz="8" w:space="0" w:color="FFFFFF"/>
            </w:tcBorders>
            <w:shd w:val="clear" w:color="auto" w:fill="E7EEEF"/>
            <w:vAlign w:val="center"/>
            <w:hideMark/>
          </w:tcPr>
          <w:p w14:paraId="3FAD4B34"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£110,264</w:t>
            </w:r>
          </w:p>
        </w:tc>
        <w:tc>
          <w:tcPr>
            <w:tcW w:w="466" w:type="pct"/>
            <w:tcBorders>
              <w:top w:val="nil"/>
              <w:left w:val="nil"/>
              <w:bottom w:val="single" w:sz="8" w:space="0" w:color="FFFFFF"/>
              <w:right w:val="single" w:sz="8" w:space="0" w:color="FFFFFF"/>
            </w:tcBorders>
            <w:shd w:val="clear" w:color="auto" w:fill="E7EEEF"/>
            <w:vAlign w:val="center"/>
            <w:hideMark/>
          </w:tcPr>
          <w:p w14:paraId="762AEAEC"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£93,301</w:t>
            </w:r>
          </w:p>
        </w:tc>
        <w:tc>
          <w:tcPr>
            <w:tcW w:w="466" w:type="pct"/>
            <w:tcBorders>
              <w:top w:val="nil"/>
              <w:left w:val="nil"/>
              <w:bottom w:val="single" w:sz="8" w:space="0" w:color="FFFFFF"/>
              <w:right w:val="single" w:sz="8" w:space="0" w:color="FFFFFF"/>
            </w:tcBorders>
            <w:shd w:val="clear" w:color="auto" w:fill="E7EEEF"/>
            <w:vAlign w:val="center"/>
            <w:hideMark/>
          </w:tcPr>
          <w:p w14:paraId="67835931"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£94,595</w:t>
            </w:r>
          </w:p>
        </w:tc>
        <w:tc>
          <w:tcPr>
            <w:tcW w:w="466" w:type="pct"/>
            <w:tcBorders>
              <w:top w:val="nil"/>
              <w:left w:val="nil"/>
              <w:bottom w:val="single" w:sz="8" w:space="0" w:color="FFFFFF"/>
              <w:right w:val="single" w:sz="8" w:space="0" w:color="FFFFFF"/>
            </w:tcBorders>
            <w:shd w:val="clear" w:color="auto" w:fill="E7EEEF"/>
            <w:vAlign w:val="center"/>
            <w:hideMark/>
          </w:tcPr>
          <w:p w14:paraId="35019793" w14:textId="77777777" w:rsidR="00E137F0" w:rsidRPr="004634AD" w:rsidRDefault="00E137F0" w:rsidP="00E137F0">
            <w:pPr>
              <w:spacing w:after="0"/>
              <w:jc w:val="center"/>
              <w:rPr>
                <w:rFonts w:ascii="Calibri" w:eastAsia="Times New Roman" w:hAnsi="Calibri"/>
                <w:color w:val="000000"/>
                <w:sz w:val="20"/>
                <w:lang w:eastAsia="en-GB"/>
              </w:rPr>
            </w:pPr>
            <w:r w:rsidRPr="004634AD">
              <w:rPr>
                <w:rFonts w:ascii="Calibri" w:eastAsia="Times New Roman" w:hAnsi="Calibri"/>
                <w:color w:val="000000"/>
                <w:sz w:val="20"/>
                <w:lang w:eastAsia="en-GB"/>
              </w:rPr>
              <w:t>£95,125</w:t>
            </w:r>
          </w:p>
        </w:tc>
      </w:tr>
    </w:tbl>
    <w:p w14:paraId="7260F111" w14:textId="4415B8FA" w:rsidR="00C073CF" w:rsidRDefault="008E0882" w:rsidP="006A55F5">
      <w:pPr>
        <w:spacing w:after="120"/>
        <w:jc w:val="right"/>
        <w:rPr>
          <w:i/>
          <w:sz w:val="20"/>
        </w:rPr>
      </w:pPr>
      <w:r>
        <w:rPr>
          <w:i/>
          <w:sz w:val="20"/>
        </w:rPr>
        <w:t>Source: ONS, Cebr analysis</w:t>
      </w:r>
    </w:p>
    <w:p w14:paraId="3D4ABBA2" w14:textId="14D4A441" w:rsidR="00E137F0" w:rsidRPr="006A55F5" w:rsidRDefault="00BE1C6E" w:rsidP="00BE1C6E">
      <w:pPr>
        <w:spacing w:after="120"/>
      </w:pPr>
      <w:r w:rsidRPr="006F26DC">
        <w:t xml:space="preserve">Whilst productivity in the Welsh </w:t>
      </w:r>
      <w:r w:rsidR="00654BBE">
        <w:t>Maritime Sector</w:t>
      </w:r>
      <w:r w:rsidRPr="006F26DC">
        <w:t xml:space="preserve"> is outperformed by the UK </w:t>
      </w:r>
      <w:r w:rsidR="00654BBE">
        <w:t>Maritime Sector</w:t>
      </w:r>
      <w:r w:rsidRPr="006F26DC">
        <w:t xml:space="preserve">, it </w:t>
      </w:r>
      <w:r w:rsidRPr="006F26DC">
        <w:rPr>
          <w:i/>
        </w:rPr>
        <w:t>substantially exceeds</w:t>
      </w:r>
      <w:r w:rsidRPr="006F26DC">
        <w:t xml:space="preserve"> the productivity </w:t>
      </w:r>
      <w:r w:rsidR="00E137F0">
        <w:t xml:space="preserve">level for the UK economy as a whole. </w:t>
      </w:r>
    </w:p>
    <w:p w14:paraId="65A40D55" w14:textId="77777777" w:rsidR="00D44960" w:rsidRDefault="00D44960" w:rsidP="00D44960">
      <w:pPr>
        <w:pStyle w:val="Heading2"/>
      </w:pPr>
      <w:bookmarkStart w:id="52" w:name="_Toc488396655"/>
      <w:bookmarkStart w:id="53" w:name="_Toc18076342"/>
      <w:r>
        <w:t>The direct impact through the compensation of employees</w:t>
      </w:r>
      <w:bookmarkEnd w:id="52"/>
      <w:bookmarkEnd w:id="53"/>
    </w:p>
    <w:p w14:paraId="0AF2B571" w14:textId="2549DC21" w:rsidR="00E13CA8" w:rsidRDefault="00D44960" w:rsidP="00E137F0">
      <w:r>
        <w:t xml:space="preserve">This </w:t>
      </w:r>
      <w:r w:rsidR="00BA64EA">
        <w:t>sub</w:t>
      </w:r>
      <w:r>
        <w:t>section considers</w:t>
      </w:r>
      <w:r w:rsidR="00BA64EA">
        <w:t xml:space="preserve"> the</w:t>
      </w:r>
      <w:r>
        <w:t xml:space="preserve"> compensation of employees</w:t>
      </w:r>
      <w:r w:rsidR="00682C2B">
        <w:t xml:space="preserve"> (COE)</w:t>
      </w:r>
      <w:r>
        <w:t xml:space="preserve"> which is dire</w:t>
      </w:r>
      <w:r w:rsidR="00E137F0">
        <w:t xml:space="preserve">ctly supported by the </w:t>
      </w:r>
      <w:r w:rsidR="00654BBE">
        <w:t>Maritime Sector</w:t>
      </w:r>
      <w:r>
        <w:t xml:space="preserve"> in </w:t>
      </w:r>
      <w:r w:rsidR="00BA64EA">
        <w:t>Wales</w:t>
      </w:r>
      <w:r>
        <w:t xml:space="preserve">. </w:t>
      </w:r>
      <w:r w:rsidR="00E13CA8">
        <w:fldChar w:fldCharType="begin"/>
      </w:r>
      <w:r w:rsidR="00E13CA8">
        <w:instrText xml:space="preserve"> REF _Ref490045538 \h </w:instrText>
      </w:r>
      <w:r w:rsidR="00E13CA8">
        <w:fldChar w:fldCharType="separate"/>
      </w:r>
      <w:r w:rsidR="00963862">
        <w:t xml:space="preserve">Figure </w:t>
      </w:r>
      <w:r w:rsidR="00963862">
        <w:rPr>
          <w:noProof/>
        </w:rPr>
        <w:t>11</w:t>
      </w:r>
      <w:r w:rsidR="00E13CA8">
        <w:fldChar w:fldCharType="end"/>
      </w:r>
      <w:r w:rsidR="00E13CA8">
        <w:t xml:space="preserve"> below shows the direct employment compensation impact of </w:t>
      </w:r>
      <w:r w:rsidR="00E137F0">
        <w:t xml:space="preserve">the </w:t>
      </w:r>
      <w:r w:rsidR="00654BBE">
        <w:t>Maritime Sector</w:t>
      </w:r>
      <w:r w:rsidR="00E13CA8">
        <w:t xml:space="preserve"> in Wales, both in levels and as a percentage of the UK </w:t>
      </w:r>
      <w:r w:rsidR="00654BBE">
        <w:t>Maritime Sector</w:t>
      </w:r>
      <w:r w:rsidR="00E13CA8">
        <w:t>, for ye</w:t>
      </w:r>
      <w:r w:rsidR="00B21843">
        <w:t>ars 2010 to 2017</w:t>
      </w:r>
      <w:r w:rsidR="00E13CA8">
        <w:t xml:space="preserve">. The direct employee compensation impacts are disaggregated by industry. </w:t>
      </w:r>
    </w:p>
    <w:p w14:paraId="6E07EEA9" w14:textId="04DC2377" w:rsidR="00BA64EA" w:rsidRDefault="00BA64EA" w:rsidP="00BA64EA">
      <w:pPr>
        <w:pStyle w:val="Caption"/>
        <w:keepNext/>
      </w:pPr>
      <w:bookmarkStart w:id="54" w:name="_Ref490045538"/>
      <w:r>
        <w:lastRenderedPageBreak/>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11</w:t>
      </w:r>
      <w:r w:rsidR="00A420C1">
        <w:rPr>
          <w:noProof/>
        </w:rPr>
        <w:fldChar w:fldCharType="end"/>
      </w:r>
      <w:bookmarkEnd w:id="54"/>
      <w:r>
        <w:t xml:space="preserve">: </w:t>
      </w:r>
      <w:r w:rsidRPr="00CF3903">
        <w:t xml:space="preserve">The direct contribution of the Maritime industries in </w:t>
      </w:r>
      <w:r w:rsidR="000B1F8A">
        <w:t>Wales</w:t>
      </w:r>
      <w:r w:rsidRPr="00CF3903">
        <w:t xml:space="preserve"> to the compensation of employees, and the combined industries’ share of the total contribution from the </w:t>
      </w:r>
      <w:r w:rsidR="0036342A">
        <w:t xml:space="preserve">UK </w:t>
      </w:r>
      <w:r w:rsidR="00654BBE">
        <w:t>Maritime Sector</w:t>
      </w:r>
      <w:r w:rsidR="00B21843">
        <w:t>, 2010 to 2017</w:t>
      </w:r>
    </w:p>
    <w:p w14:paraId="487784F7" w14:textId="342C49A8" w:rsidR="00BA64EA" w:rsidRDefault="00B21843" w:rsidP="00D44960">
      <w:r>
        <w:rPr>
          <w:noProof/>
          <w:lang w:eastAsia="en-GB"/>
        </w:rPr>
        <w:drawing>
          <wp:inline distT="0" distB="0" distL="0" distR="0" wp14:anchorId="221280B5" wp14:editId="0DD0ABA5">
            <wp:extent cx="5976620" cy="3206115"/>
            <wp:effectExtent l="0" t="0" r="508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4DF33835" w14:textId="77777777" w:rsidR="00BA64EA" w:rsidRPr="00963862" w:rsidRDefault="00BA64EA" w:rsidP="00BA64EA">
      <w:pPr>
        <w:keepNext/>
        <w:keepLines/>
        <w:spacing w:before="60" w:after="120"/>
        <w:jc w:val="right"/>
        <w:rPr>
          <w:i/>
        </w:rPr>
      </w:pPr>
      <w:r w:rsidRPr="00963862">
        <w:rPr>
          <w:i/>
          <w:sz w:val="18"/>
        </w:rPr>
        <w:t>Source: ONS, FAME, Cebr analysis</w:t>
      </w:r>
    </w:p>
    <w:p w14:paraId="606E3FDA" w14:textId="37C600FF" w:rsidR="00682C2B" w:rsidRPr="00B21843" w:rsidRDefault="00B21843" w:rsidP="00682C2B">
      <w:pPr>
        <w:rPr>
          <w:rFonts w:ascii="Calibri" w:eastAsia="Microsoft JhengHei" w:hAnsi="Calibri"/>
          <w:b/>
          <w:color w:val="FF0000"/>
          <w:szCs w:val="22"/>
        </w:rPr>
      </w:pPr>
      <w:r>
        <w:rPr>
          <w:rFonts w:ascii="Calibri" w:eastAsia="Microsoft JhengHei" w:hAnsi="Calibri"/>
          <w:szCs w:val="22"/>
        </w:rPr>
        <w:t>In 2017</w:t>
      </w:r>
      <w:r w:rsidR="00E13CA8">
        <w:rPr>
          <w:rFonts w:ascii="Calibri" w:eastAsia="Microsoft JhengHei" w:hAnsi="Calibri"/>
          <w:szCs w:val="22"/>
        </w:rPr>
        <w:t xml:space="preserve"> the direct </w:t>
      </w:r>
      <w:r w:rsidR="00BE66D7">
        <w:rPr>
          <w:rFonts w:ascii="Calibri" w:eastAsia="Microsoft JhengHei" w:hAnsi="Calibri"/>
          <w:szCs w:val="22"/>
        </w:rPr>
        <w:t>CO</w:t>
      </w:r>
      <w:r w:rsidR="00682C2B">
        <w:rPr>
          <w:rFonts w:ascii="Calibri" w:eastAsia="Microsoft JhengHei" w:hAnsi="Calibri"/>
          <w:szCs w:val="22"/>
        </w:rPr>
        <w:t>E</w:t>
      </w:r>
      <w:r w:rsidR="00E13CA8">
        <w:rPr>
          <w:rFonts w:ascii="Calibri" w:eastAsia="Microsoft JhengHei" w:hAnsi="Calibri"/>
          <w:szCs w:val="22"/>
        </w:rPr>
        <w:t xml:space="preserve"> impact of the </w:t>
      </w:r>
      <w:r w:rsidR="00654BBE">
        <w:rPr>
          <w:rFonts w:ascii="Calibri" w:eastAsia="Microsoft JhengHei" w:hAnsi="Calibri"/>
          <w:szCs w:val="22"/>
        </w:rPr>
        <w:t>Maritime Sector</w:t>
      </w:r>
      <w:r>
        <w:rPr>
          <w:rFonts w:ascii="Calibri" w:eastAsia="Microsoft JhengHei" w:hAnsi="Calibri"/>
          <w:szCs w:val="22"/>
        </w:rPr>
        <w:t xml:space="preserve"> in Wales was £105</w:t>
      </w:r>
      <w:r w:rsidR="00EF3B61">
        <w:rPr>
          <w:rFonts w:ascii="Calibri" w:eastAsia="Microsoft JhengHei" w:hAnsi="Calibri"/>
          <w:szCs w:val="22"/>
        </w:rPr>
        <w:t xml:space="preserve"> million: this represented</w:t>
      </w:r>
      <w:r w:rsidR="00E13CA8">
        <w:rPr>
          <w:rFonts w:ascii="Calibri" w:eastAsia="Microsoft JhengHei" w:hAnsi="Calibri"/>
          <w:szCs w:val="22"/>
        </w:rPr>
        <w:t xml:space="preserve"> </w:t>
      </w:r>
      <w:r>
        <w:rPr>
          <w:rFonts w:ascii="Calibri" w:eastAsia="Microsoft JhengHei" w:hAnsi="Calibri"/>
          <w:szCs w:val="22"/>
        </w:rPr>
        <w:t>1</w:t>
      </w:r>
      <w:r w:rsidR="00E13CA8">
        <w:rPr>
          <w:rFonts w:ascii="Calibri" w:eastAsia="Microsoft JhengHei" w:hAnsi="Calibri"/>
          <w:szCs w:val="22"/>
        </w:rPr>
        <w:t>.</w:t>
      </w:r>
      <w:r>
        <w:rPr>
          <w:rFonts w:ascii="Calibri" w:eastAsia="Microsoft JhengHei" w:hAnsi="Calibri"/>
          <w:szCs w:val="22"/>
        </w:rPr>
        <w:t>2</w:t>
      </w:r>
      <w:r w:rsidR="00BE66D7">
        <w:rPr>
          <w:rFonts w:ascii="Calibri" w:eastAsia="Microsoft JhengHei" w:hAnsi="Calibri"/>
          <w:szCs w:val="22"/>
        </w:rPr>
        <w:t>%</w:t>
      </w:r>
      <w:r w:rsidR="0036342A">
        <w:rPr>
          <w:rFonts w:ascii="Calibri" w:eastAsia="Microsoft JhengHei" w:hAnsi="Calibri"/>
          <w:szCs w:val="22"/>
        </w:rPr>
        <w:t xml:space="preserve"> of the UK </w:t>
      </w:r>
      <w:r w:rsidR="00654BBE">
        <w:rPr>
          <w:rFonts w:ascii="Calibri" w:eastAsia="Microsoft JhengHei" w:hAnsi="Calibri"/>
          <w:szCs w:val="22"/>
        </w:rPr>
        <w:t>Maritime Sector</w:t>
      </w:r>
      <w:r w:rsidR="00E13CA8">
        <w:rPr>
          <w:rFonts w:ascii="Calibri" w:eastAsia="Microsoft JhengHei" w:hAnsi="Calibri"/>
          <w:szCs w:val="22"/>
        </w:rPr>
        <w:t xml:space="preserve"> contribution as a whole. </w:t>
      </w:r>
    </w:p>
    <w:p w14:paraId="4A2ACCAA" w14:textId="125E0C16" w:rsidR="00682C2B" w:rsidRDefault="00F5602A" w:rsidP="00F5602A">
      <w:r>
        <w:rPr>
          <w:rFonts w:ascii="Calibri" w:eastAsia="Microsoft JhengHei" w:hAnsi="Calibri"/>
          <w:szCs w:val="22"/>
        </w:rPr>
        <w:fldChar w:fldCharType="begin"/>
      </w:r>
      <w:r>
        <w:rPr>
          <w:rFonts w:ascii="Calibri" w:eastAsia="Microsoft JhengHei" w:hAnsi="Calibri"/>
          <w:szCs w:val="22"/>
        </w:rPr>
        <w:instrText xml:space="preserve"> REF _Ref490045538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11</w:t>
      </w:r>
      <w:r>
        <w:rPr>
          <w:rFonts w:ascii="Calibri" w:eastAsia="Microsoft JhengHei" w:hAnsi="Calibri"/>
          <w:szCs w:val="22"/>
        </w:rPr>
        <w:fldChar w:fldCharType="end"/>
      </w:r>
      <w:r>
        <w:rPr>
          <w:rFonts w:ascii="Calibri" w:eastAsia="Microsoft JhengHei" w:hAnsi="Calibri"/>
          <w:szCs w:val="22"/>
        </w:rPr>
        <w:t xml:space="preserve"> illustrates how each industry within the W</w:t>
      </w:r>
      <w:r w:rsidR="0036342A">
        <w:rPr>
          <w:rFonts w:ascii="Calibri" w:eastAsia="Microsoft JhengHei" w:hAnsi="Calibri"/>
          <w:szCs w:val="22"/>
        </w:rPr>
        <w:t xml:space="preserve">elsh </w:t>
      </w:r>
      <w:r w:rsidR="00654BBE">
        <w:rPr>
          <w:rFonts w:ascii="Calibri" w:eastAsia="Microsoft JhengHei" w:hAnsi="Calibri"/>
          <w:szCs w:val="22"/>
        </w:rPr>
        <w:t>Maritime Sector</w:t>
      </w:r>
      <w:r w:rsidR="0036342A">
        <w:rPr>
          <w:rFonts w:ascii="Calibri" w:eastAsia="Microsoft JhengHei" w:hAnsi="Calibri"/>
          <w:szCs w:val="22"/>
        </w:rPr>
        <w:t xml:space="preserve"> contributed year-on-year</w:t>
      </w:r>
      <w:r>
        <w:rPr>
          <w:rFonts w:ascii="Calibri" w:eastAsia="Microsoft JhengHei" w:hAnsi="Calibri"/>
          <w:szCs w:val="22"/>
        </w:rPr>
        <w:t xml:space="preserve"> to the direct COE impact.</w:t>
      </w:r>
      <w:r>
        <w:t xml:space="preserve"> I</w:t>
      </w:r>
      <w:r w:rsidR="00682C2B">
        <w:t>n 201</w:t>
      </w:r>
      <w:r w:rsidR="00FF2E96">
        <w:t xml:space="preserve">7 36% of all compensation paid to employees in the Welsh </w:t>
      </w:r>
      <w:r w:rsidR="00654BBE">
        <w:t>Maritime Sector</w:t>
      </w:r>
      <w:r w:rsidR="00FF2E96">
        <w:t xml:space="preserve"> was paid to employees in the shipping industry. Just under 30% of all compensation paid was to employees in the marine engineering</w:t>
      </w:r>
      <w:r w:rsidR="0036342A">
        <w:t xml:space="preserve"> and scientific industry</w:t>
      </w:r>
      <w:r w:rsidR="00FF2E96">
        <w:t xml:space="preserve">. Perhaps unsurprisingly, this distribution is very similar to the distribution of employment discussed previously. </w:t>
      </w:r>
    </w:p>
    <w:p w14:paraId="1D145A0C" w14:textId="77777777" w:rsidR="0036342A" w:rsidRDefault="0036342A" w:rsidP="00F5602A"/>
    <w:p w14:paraId="30CF4DC9" w14:textId="77777777" w:rsidR="0036342A" w:rsidRDefault="0036342A" w:rsidP="00F5602A"/>
    <w:p w14:paraId="1BE7E02E" w14:textId="77777777" w:rsidR="0036342A" w:rsidRDefault="0036342A" w:rsidP="00F5602A"/>
    <w:p w14:paraId="298FF51E" w14:textId="77777777" w:rsidR="0036342A" w:rsidRDefault="0036342A" w:rsidP="00F5602A"/>
    <w:p w14:paraId="12BB406A" w14:textId="77777777" w:rsidR="0036342A" w:rsidRDefault="0036342A" w:rsidP="00F5602A"/>
    <w:p w14:paraId="34A2E50C" w14:textId="77777777" w:rsidR="0036342A" w:rsidRDefault="0036342A" w:rsidP="00F5602A"/>
    <w:p w14:paraId="49358478" w14:textId="77777777" w:rsidR="00CD65E7" w:rsidRDefault="00CD65E7" w:rsidP="0036342A">
      <w:pPr>
        <w:pStyle w:val="Caption"/>
      </w:pPr>
    </w:p>
    <w:p w14:paraId="2527C025" w14:textId="77777777" w:rsidR="00CD65E7" w:rsidRDefault="00CD65E7" w:rsidP="0036342A">
      <w:pPr>
        <w:pStyle w:val="Caption"/>
      </w:pPr>
    </w:p>
    <w:p w14:paraId="01030909" w14:textId="77777777" w:rsidR="00CD65E7" w:rsidRDefault="00CD65E7" w:rsidP="0036342A">
      <w:pPr>
        <w:pStyle w:val="Caption"/>
      </w:pPr>
    </w:p>
    <w:p w14:paraId="6839BC39" w14:textId="26E7421A" w:rsidR="0036342A" w:rsidRDefault="00CD65E7" w:rsidP="0036342A">
      <w:pPr>
        <w:pStyle w:val="Caption"/>
      </w:pPr>
      <w:r>
        <w:rPr>
          <w:noProof/>
          <w:lang w:eastAsia="en-GB"/>
        </w:rPr>
        <w:lastRenderedPageBreak/>
        <w:drawing>
          <wp:anchor distT="0" distB="0" distL="114300" distR="114300" simplePos="0" relativeHeight="251671552" behindDoc="1" locked="0" layoutInCell="1" allowOverlap="1" wp14:anchorId="2D5EE93A" wp14:editId="7F41142C">
            <wp:simplePos x="0" y="0"/>
            <wp:positionH relativeFrom="column">
              <wp:posOffset>27165</wp:posOffset>
            </wp:positionH>
            <wp:positionV relativeFrom="paragraph">
              <wp:posOffset>269240</wp:posOffset>
            </wp:positionV>
            <wp:extent cx="5760000" cy="2880000"/>
            <wp:effectExtent l="0" t="0" r="0" b="0"/>
            <wp:wrapTight wrapText="bothSides">
              <wp:wrapPolygon edited="0">
                <wp:start x="0" y="0"/>
                <wp:lineTo x="0" y="21433"/>
                <wp:lineTo x="21505" y="21433"/>
                <wp:lineTo x="21505" y="0"/>
                <wp:lineTo x="0" y="0"/>
              </wp:wrapPolygon>
            </wp:wrapTight>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14:sizeRelH relativeFrom="page">
              <wp14:pctWidth>0</wp14:pctWidth>
            </wp14:sizeRelH>
            <wp14:sizeRelV relativeFrom="page">
              <wp14:pctHeight>0</wp14:pctHeight>
            </wp14:sizeRelV>
          </wp:anchor>
        </w:drawing>
      </w:r>
      <w:r w:rsidR="0036342A">
        <w:t xml:space="preserve">Figure </w:t>
      </w:r>
      <w:r w:rsidR="00081E71">
        <w:rPr>
          <w:noProof/>
        </w:rPr>
        <w:fldChar w:fldCharType="begin"/>
      </w:r>
      <w:r w:rsidR="00081E71">
        <w:rPr>
          <w:noProof/>
        </w:rPr>
        <w:instrText xml:space="preserve"> SEQ Figure \* ARABIC </w:instrText>
      </w:r>
      <w:r w:rsidR="00081E71">
        <w:rPr>
          <w:noProof/>
        </w:rPr>
        <w:fldChar w:fldCharType="separate"/>
      </w:r>
      <w:r w:rsidR="00963862">
        <w:rPr>
          <w:noProof/>
        </w:rPr>
        <w:t>12</w:t>
      </w:r>
      <w:r w:rsidR="00081E71">
        <w:rPr>
          <w:noProof/>
        </w:rPr>
        <w:fldChar w:fldCharType="end"/>
      </w:r>
      <w:r w:rsidR="0036342A">
        <w:t xml:space="preserve">: </w:t>
      </w:r>
      <w:r w:rsidR="0036342A" w:rsidRPr="0098492E">
        <w:rPr>
          <w:i w:val="0"/>
          <w:iCs w:val="0"/>
        </w:rPr>
        <w:t>Contributions to</w:t>
      </w:r>
      <w:r w:rsidR="0036342A">
        <w:rPr>
          <w:i w:val="0"/>
          <w:iCs w:val="0"/>
        </w:rPr>
        <w:t xml:space="preserve"> </w:t>
      </w:r>
      <w:r w:rsidR="0036342A" w:rsidRPr="0036342A">
        <w:rPr>
          <w:i w:val="0"/>
          <w:iCs w:val="0"/>
        </w:rPr>
        <w:t>compensation of employees</w:t>
      </w:r>
      <w:r w:rsidR="0036342A" w:rsidRPr="0098492E">
        <w:rPr>
          <w:i w:val="0"/>
          <w:iCs w:val="0"/>
        </w:rPr>
        <w:t xml:space="preserve"> made by each cons</w:t>
      </w:r>
      <w:r>
        <w:rPr>
          <w:i w:val="0"/>
          <w:iCs w:val="0"/>
        </w:rPr>
        <w:t xml:space="preserve">tituent Maritime industry, 2010 to </w:t>
      </w:r>
      <w:r w:rsidR="0036342A" w:rsidRPr="0098492E">
        <w:rPr>
          <w:i w:val="0"/>
          <w:iCs w:val="0"/>
        </w:rPr>
        <w:t>2017</w:t>
      </w:r>
    </w:p>
    <w:p w14:paraId="6C7E5D95" w14:textId="3A680A27" w:rsidR="00CD65E7" w:rsidRPr="00CD65E7" w:rsidRDefault="00CD65E7" w:rsidP="00CD65E7">
      <w:pPr>
        <w:jc w:val="right"/>
        <w:rPr>
          <w:rFonts w:ascii="Calibri" w:eastAsia="Microsoft JhengHei" w:hAnsi="Calibri"/>
          <w:szCs w:val="22"/>
        </w:rPr>
      </w:pPr>
      <w:r w:rsidRPr="00CD65E7">
        <w:rPr>
          <w:i/>
          <w:sz w:val="18"/>
          <w:szCs w:val="18"/>
        </w:rPr>
        <w:t xml:space="preserve"> </w:t>
      </w:r>
      <w:r>
        <w:rPr>
          <w:i/>
          <w:sz w:val="18"/>
          <w:szCs w:val="18"/>
        </w:rPr>
        <w:t>Source: ONS, FAME, Cebr analysis</w:t>
      </w:r>
    </w:p>
    <w:p w14:paraId="62EF7370" w14:textId="6BC8B18B" w:rsidR="008E0882" w:rsidRPr="00BA64EA" w:rsidRDefault="00317EA9" w:rsidP="00317EA9">
      <w:pPr>
        <w:pStyle w:val="Heading2"/>
      </w:pPr>
      <w:bookmarkStart w:id="55" w:name="_Toc18076343"/>
      <w:r>
        <w:t>The direct Exchequer contribution in Wales</w:t>
      </w:r>
      <w:bookmarkEnd w:id="55"/>
    </w:p>
    <w:p w14:paraId="36953702" w14:textId="212ADD5C" w:rsidR="00317EA9" w:rsidRDefault="00317EA9" w:rsidP="00317EA9">
      <w:pPr>
        <w:spacing w:after="120"/>
      </w:pPr>
      <w:r>
        <w:t>In this subsection we examine th</w:t>
      </w:r>
      <w:r w:rsidR="00C40190">
        <w:t xml:space="preserve">e contribution of the </w:t>
      </w:r>
      <w:r w:rsidR="00654BBE">
        <w:t>Maritime Sector</w:t>
      </w:r>
      <w:r>
        <w:t xml:space="preserve"> in Wales to the UK Exchequer, through tax revenues raised from Maritime-related activities. In order to capture the incidence of taxation on the direct activities of the sector, Cebr has measured the contribution through revenues raised from the tax heads listed below</w:t>
      </w:r>
      <w:r w:rsidR="008D65D3" w:rsidRPr="00CD65E7">
        <w:rPr>
          <w:rStyle w:val="FootnoteReference"/>
          <w:sz w:val="14"/>
          <w:szCs w:val="14"/>
          <w:vertAlign w:val="baseline"/>
        </w:rPr>
        <w:footnoteReference w:id="14"/>
      </w:r>
      <w:r>
        <w:t>:</w:t>
      </w:r>
    </w:p>
    <w:p w14:paraId="156C2816"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Income Tax;</w:t>
      </w:r>
    </w:p>
    <w:p w14:paraId="714A9E18"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Insurance Contributions (NICs) – from both Employer and Employee contributions;</w:t>
      </w:r>
    </w:p>
    <w:p w14:paraId="569FF135" w14:textId="76D5A56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 xml:space="preserve">Value-Added Tax (VAT) as paid by businesses operating in the </w:t>
      </w:r>
      <w:r w:rsidR="00654BBE">
        <w:rPr>
          <w:rFonts w:ascii="Calibri" w:eastAsia="Microsoft JhengHei" w:hAnsi="Calibri"/>
        </w:rPr>
        <w:t>Maritime Sector</w:t>
      </w:r>
      <w:r w:rsidRPr="001D7011">
        <w:rPr>
          <w:rFonts w:ascii="Calibri" w:eastAsia="Microsoft JhengHei" w:hAnsi="Calibri"/>
        </w:rPr>
        <w:t>;</w:t>
      </w:r>
    </w:p>
    <w:p w14:paraId="50F56D12"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Corporation Tax;</w:t>
      </w:r>
    </w:p>
    <w:p w14:paraId="72663E2D" w14:textId="77777777" w:rsidR="00317EA9" w:rsidRPr="001D7011" w:rsidRDefault="00317EA9" w:rsidP="00317EA9">
      <w:pPr>
        <w:pStyle w:val="ListBullet"/>
        <w:numPr>
          <w:ilvl w:val="0"/>
          <w:numId w:val="32"/>
        </w:numPr>
        <w:spacing w:after="120"/>
        <w:ind w:left="360"/>
        <w:rPr>
          <w:rFonts w:ascii="Calibri" w:eastAsia="Microsoft JhengHei" w:hAnsi="Calibri"/>
        </w:rPr>
      </w:pPr>
      <w:r w:rsidRPr="001D7011">
        <w:rPr>
          <w:rFonts w:ascii="Calibri" w:eastAsia="Microsoft JhengHei" w:hAnsi="Calibri"/>
        </w:rPr>
        <w:t>National Non-Domestic Rates (Business Rates).</w:t>
      </w:r>
    </w:p>
    <w:p w14:paraId="576C411A" w14:textId="798DDA85" w:rsidR="00317EA9" w:rsidRDefault="00317EA9" w:rsidP="00317EA9">
      <w:r>
        <w:t xml:space="preserve">For the personal taxes listed above, Income Tax and NICs revenues have been calculated by applying tax rates to the estimated wages and salaries paid to employees operating in the </w:t>
      </w:r>
      <w:r w:rsidR="00F5602A">
        <w:t>Welsh</w:t>
      </w:r>
      <w:r w:rsidR="00C40190">
        <w:t xml:space="preserve"> </w:t>
      </w:r>
      <w:r w:rsidR="00654BBE">
        <w:t>Maritime Sector</w:t>
      </w:r>
      <w:r>
        <w:t>; rates and thresholds have been sourced from HMRC for the years 2010 to 201</w:t>
      </w:r>
      <w:r w:rsidR="00C3289B">
        <w:t>7</w:t>
      </w:r>
      <w:r>
        <w:t>. Wages and salaries for employees have been sourced from the Annual Survey for Hours and Earnings (ASHE)</w:t>
      </w:r>
      <w:r w:rsidRPr="000C451B">
        <w:rPr>
          <w:vertAlign w:val="superscript"/>
        </w:rPr>
        <w:footnoteReference w:id="15"/>
      </w:r>
      <w:r w:rsidRPr="000C451B">
        <w:rPr>
          <w:vertAlign w:val="superscript"/>
        </w:rPr>
        <w:t xml:space="preserve"> </w:t>
      </w:r>
      <w:r>
        <w:t xml:space="preserve">and adjusted for wage differentials in </w:t>
      </w:r>
      <w:r w:rsidR="000B1F8A">
        <w:t>Wales</w:t>
      </w:r>
      <w:r>
        <w:t xml:space="preserve">. For the business taxes listed above, Corporation Tax revenues have been estimated by applying HMRC estimates for Average Effective Tax Rates (AETRs) to the estimated Gross Profit of each Maritime industry. Business Rates have been estimated using the average level of Business Rates paid as a proportion of </w:t>
      </w:r>
      <w:r w:rsidR="00654BBE">
        <w:t>Maritime Sector</w:t>
      </w:r>
      <w:r>
        <w:t xml:space="preserve"> GVA, taken from the ONS Annual Business Survey.</w:t>
      </w:r>
    </w:p>
    <w:p w14:paraId="0C0D1629" w14:textId="21054BA1" w:rsidR="00C073CF" w:rsidRDefault="00885D5A" w:rsidP="00C073CF">
      <w:pPr>
        <w:spacing w:after="120"/>
      </w:pPr>
      <w:r>
        <w:lastRenderedPageBreak/>
        <w:fldChar w:fldCharType="begin"/>
      </w:r>
      <w:r>
        <w:instrText xml:space="preserve"> REF _Ref490049017 \h </w:instrText>
      </w:r>
      <w:r>
        <w:fldChar w:fldCharType="separate"/>
      </w:r>
      <w:r w:rsidR="00963862">
        <w:t xml:space="preserve">Figure </w:t>
      </w:r>
      <w:r w:rsidR="00963862">
        <w:rPr>
          <w:noProof/>
        </w:rPr>
        <w:t>13</w:t>
      </w:r>
      <w:r>
        <w:fldChar w:fldCharType="end"/>
      </w:r>
      <w:r>
        <w:t xml:space="preserve"> below shows the direct cont</w:t>
      </w:r>
      <w:r w:rsidR="00C40190">
        <w:t xml:space="preserve">ribution of the Welsh </w:t>
      </w:r>
      <w:r w:rsidR="00654BBE">
        <w:t>Maritime Sector</w:t>
      </w:r>
      <w:r>
        <w:t xml:space="preserve"> to the UK Exchequer, both in levels and as a</w:t>
      </w:r>
      <w:r w:rsidR="00C40190">
        <w:t xml:space="preserve"> percentage of the UK </w:t>
      </w:r>
      <w:r w:rsidR="00654BBE">
        <w:t>Maritime Sector</w:t>
      </w:r>
      <w:r>
        <w:t xml:space="preserve"> as a whole, for years 2010 to 201</w:t>
      </w:r>
      <w:r w:rsidR="00C3289B">
        <w:t>7</w:t>
      </w:r>
      <w:r>
        <w:t>. The direct exchequer impacts are disaggre</w:t>
      </w:r>
      <w:r w:rsidR="00BE66D7">
        <w:t>gated by industry contribution.</w:t>
      </w:r>
    </w:p>
    <w:p w14:paraId="6D595A8C" w14:textId="30AC8D3A" w:rsidR="00885D5A" w:rsidRDefault="00885D5A" w:rsidP="00885D5A">
      <w:pPr>
        <w:pStyle w:val="Caption"/>
        <w:keepNext/>
      </w:pPr>
      <w:bookmarkStart w:id="56" w:name="_Ref490049017"/>
      <w:r>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13</w:t>
      </w:r>
      <w:r w:rsidR="00A420C1">
        <w:rPr>
          <w:noProof/>
        </w:rPr>
        <w:fldChar w:fldCharType="end"/>
      </w:r>
      <w:bookmarkEnd w:id="56"/>
      <w:r>
        <w:t xml:space="preserve">: </w:t>
      </w:r>
      <w:r w:rsidRPr="00767BDA">
        <w:t xml:space="preserve">The direct UK Exchequer contribution of the Maritime industries in </w:t>
      </w:r>
      <w:r w:rsidR="000B1F8A">
        <w:t>Wales</w:t>
      </w:r>
      <w:r w:rsidR="00C40190">
        <w:t>, 2010 to 2017</w:t>
      </w:r>
    </w:p>
    <w:p w14:paraId="757C905C" w14:textId="599E77AB" w:rsidR="00C073CF" w:rsidRPr="00221F8D" w:rsidRDefault="005C6E8F" w:rsidP="004931FE">
      <w:r>
        <w:rPr>
          <w:noProof/>
          <w:lang w:eastAsia="en-GB"/>
        </w:rPr>
        <w:drawing>
          <wp:inline distT="0" distB="0" distL="0" distR="0" wp14:anchorId="2F61C692" wp14:editId="02F37192">
            <wp:extent cx="5976620" cy="2988310"/>
            <wp:effectExtent l="0" t="0" r="5080" b="254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2E4CDC2" w14:textId="77777777" w:rsidR="00885D5A" w:rsidRPr="006A55F5" w:rsidRDefault="00885D5A" w:rsidP="00885D5A">
      <w:pPr>
        <w:tabs>
          <w:tab w:val="left" w:pos="5387"/>
          <w:tab w:val="left" w:pos="5529"/>
        </w:tabs>
        <w:spacing w:before="60" w:after="0"/>
        <w:jc w:val="right"/>
        <w:rPr>
          <w:i/>
        </w:rPr>
      </w:pPr>
      <w:r w:rsidRPr="006A55F5">
        <w:rPr>
          <w:rStyle w:val="SubtleEmphasis"/>
          <w:color w:val="auto"/>
          <w:sz w:val="18"/>
        </w:rPr>
        <w:t>Source: ONS, FAME, Cebr analysis</w:t>
      </w:r>
    </w:p>
    <w:p w14:paraId="0833AD5B" w14:textId="77777777" w:rsidR="006A55F5" w:rsidRDefault="006A55F5" w:rsidP="004632E2">
      <w:pPr>
        <w:rPr>
          <w:rFonts w:ascii="Calibri" w:eastAsia="Microsoft JhengHei" w:hAnsi="Calibri"/>
          <w:szCs w:val="22"/>
        </w:rPr>
      </w:pPr>
    </w:p>
    <w:p w14:paraId="75964ACB" w14:textId="170F1B90" w:rsidR="004632E2" w:rsidRPr="00FB5A2A" w:rsidRDefault="00885D5A" w:rsidP="004632E2">
      <w:pPr>
        <w:rPr>
          <w:rFonts w:ascii="Calibri" w:eastAsia="Microsoft JhengHei" w:hAnsi="Calibri"/>
          <w:b/>
          <w:color w:val="FF0000"/>
          <w:szCs w:val="22"/>
        </w:rPr>
      </w:pPr>
      <w:r>
        <w:rPr>
          <w:rFonts w:ascii="Calibri" w:eastAsia="Microsoft JhengHei" w:hAnsi="Calibri"/>
          <w:szCs w:val="22"/>
        </w:rPr>
        <w:t>In 201</w:t>
      </w:r>
      <w:r w:rsidR="00C3289B">
        <w:rPr>
          <w:rFonts w:ascii="Calibri" w:eastAsia="Microsoft JhengHei" w:hAnsi="Calibri"/>
          <w:szCs w:val="22"/>
        </w:rPr>
        <w:t>7</w:t>
      </w:r>
      <w:r>
        <w:rPr>
          <w:rFonts w:ascii="Calibri" w:eastAsia="Microsoft JhengHei" w:hAnsi="Calibri"/>
          <w:szCs w:val="22"/>
        </w:rPr>
        <w:t xml:space="preserve"> the direct Exchequer impact of the </w:t>
      </w:r>
      <w:r w:rsidR="00654BBE">
        <w:rPr>
          <w:rFonts w:ascii="Calibri" w:eastAsia="Microsoft JhengHei" w:hAnsi="Calibri"/>
          <w:szCs w:val="22"/>
        </w:rPr>
        <w:t>Maritime Sector</w:t>
      </w:r>
      <w:r w:rsidR="004931FE">
        <w:rPr>
          <w:rFonts w:ascii="Calibri" w:eastAsia="Microsoft JhengHei" w:hAnsi="Calibri"/>
          <w:szCs w:val="22"/>
        </w:rPr>
        <w:t xml:space="preserve"> in Wales was £</w:t>
      </w:r>
      <w:r w:rsidR="005C6E8F">
        <w:rPr>
          <w:rFonts w:ascii="Calibri" w:eastAsia="Microsoft JhengHei" w:hAnsi="Calibri"/>
          <w:szCs w:val="22"/>
        </w:rPr>
        <w:t>94</w:t>
      </w:r>
      <w:r w:rsidR="004931FE">
        <w:rPr>
          <w:rFonts w:ascii="Calibri" w:eastAsia="Microsoft JhengHei" w:hAnsi="Calibri"/>
          <w:szCs w:val="22"/>
        </w:rPr>
        <w:t xml:space="preserve"> million: this represent</w:t>
      </w:r>
      <w:r w:rsidR="00EF3B61">
        <w:rPr>
          <w:rFonts w:ascii="Calibri" w:eastAsia="Microsoft JhengHei" w:hAnsi="Calibri"/>
          <w:szCs w:val="22"/>
        </w:rPr>
        <w:t>ed</w:t>
      </w:r>
      <w:r w:rsidR="004931FE">
        <w:rPr>
          <w:rFonts w:ascii="Calibri" w:eastAsia="Microsoft JhengHei" w:hAnsi="Calibri"/>
          <w:szCs w:val="22"/>
        </w:rPr>
        <w:t xml:space="preserve"> </w:t>
      </w:r>
      <w:r w:rsidR="005C6E8F">
        <w:rPr>
          <w:rFonts w:ascii="Calibri" w:eastAsia="Microsoft JhengHei" w:hAnsi="Calibri"/>
          <w:szCs w:val="22"/>
        </w:rPr>
        <w:t>1.8</w:t>
      </w:r>
      <w:r>
        <w:rPr>
          <w:rFonts w:ascii="Calibri" w:eastAsia="Microsoft JhengHei" w:hAnsi="Calibri"/>
          <w:szCs w:val="22"/>
        </w:rPr>
        <w:t xml:space="preserve">% of the UK </w:t>
      </w:r>
      <w:r w:rsidR="00654BBE">
        <w:rPr>
          <w:rFonts w:ascii="Calibri" w:eastAsia="Microsoft JhengHei" w:hAnsi="Calibri"/>
          <w:szCs w:val="22"/>
        </w:rPr>
        <w:t>Maritime Sector</w:t>
      </w:r>
      <w:r w:rsidR="00CE4543">
        <w:rPr>
          <w:rFonts w:ascii="Calibri" w:eastAsia="Microsoft JhengHei" w:hAnsi="Calibri"/>
          <w:szCs w:val="22"/>
        </w:rPr>
        <w:t xml:space="preserve"> contribution as a whole.</w:t>
      </w:r>
      <w:r w:rsidR="00FB5A2A">
        <w:rPr>
          <w:rFonts w:ascii="Calibri" w:eastAsia="Microsoft JhengHei" w:hAnsi="Calibri"/>
          <w:b/>
          <w:color w:val="FF0000"/>
          <w:szCs w:val="22"/>
        </w:rPr>
        <w:t xml:space="preserve"> </w:t>
      </w:r>
      <w:r>
        <w:rPr>
          <w:rFonts w:ascii="Calibri" w:eastAsia="Microsoft JhengHei" w:hAnsi="Calibri"/>
          <w:szCs w:val="22"/>
        </w:rPr>
        <w:t>Disaggregating the direct impact by constituent industry, we can see that in 201</w:t>
      </w:r>
      <w:r w:rsidR="00C3289B">
        <w:rPr>
          <w:rFonts w:ascii="Calibri" w:eastAsia="Microsoft JhengHei" w:hAnsi="Calibri"/>
          <w:szCs w:val="22"/>
        </w:rPr>
        <w:t>7</w:t>
      </w:r>
      <w:r>
        <w:rPr>
          <w:rFonts w:ascii="Calibri" w:eastAsia="Microsoft JhengHei" w:hAnsi="Calibri"/>
          <w:szCs w:val="22"/>
        </w:rPr>
        <w:t xml:space="preserve"> th</w:t>
      </w:r>
      <w:r w:rsidR="004931FE">
        <w:rPr>
          <w:rFonts w:ascii="Calibri" w:eastAsia="Microsoft JhengHei" w:hAnsi="Calibri"/>
          <w:szCs w:val="22"/>
        </w:rPr>
        <w:t xml:space="preserve">e </w:t>
      </w:r>
      <w:r w:rsidR="00C3289B">
        <w:rPr>
          <w:rFonts w:ascii="Calibri" w:eastAsia="Microsoft JhengHei" w:hAnsi="Calibri"/>
          <w:szCs w:val="22"/>
        </w:rPr>
        <w:t>shipping i</w:t>
      </w:r>
      <w:r w:rsidR="005C6E8F">
        <w:rPr>
          <w:rFonts w:ascii="Calibri" w:eastAsia="Microsoft JhengHei" w:hAnsi="Calibri"/>
          <w:szCs w:val="22"/>
        </w:rPr>
        <w:t>ndustry contributed 41</w:t>
      </w:r>
      <w:r>
        <w:rPr>
          <w:rFonts w:ascii="Calibri" w:eastAsia="Microsoft JhengHei" w:hAnsi="Calibri"/>
          <w:szCs w:val="22"/>
        </w:rPr>
        <w:t xml:space="preserve">% of the </w:t>
      </w:r>
      <w:r w:rsidR="00CE2177">
        <w:rPr>
          <w:rFonts w:ascii="Calibri" w:eastAsia="Microsoft JhengHei" w:hAnsi="Calibri"/>
          <w:szCs w:val="22"/>
        </w:rPr>
        <w:t xml:space="preserve">direct Exchequer revenues for the Welsh </w:t>
      </w:r>
      <w:r w:rsidR="00654BBE">
        <w:rPr>
          <w:rFonts w:ascii="Calibri" w:eastAsia="Microsoft JhengHei" w:hAnsi="Calibri"/>
          <w:szCs w:val="22"/>
        </w:rPr>
        <w:t>Maritime Sector</w:t>
      </w:r>
      <w:r w:rsidR="00C3289B">
        <w:rPr>
          <w:rFonts w:ascii="Calibri" w:eastAsia="Microsoft JhengHei" w:hAnsi="Calibri"/>
          <w:szCs w:val="22"/>
        </w:rPr>
        <w:t>, followed by the marine</w:t>
      </w:r>
      <w:r w:rsidR="00C40190">
        <w:rPr>
          <w:rFonts w:ascii="Calibri" w:eastAsia="Microsoft JhengHei" w:hAnsi="Calibri"/>
          <w:szCs w:val="22"/>
        </w:rPr>
        <w:t xml:space="preserve"> engineering and scientific</w:t>
      </w:r>
      <w:r w:rsidR="004931FE">
        <w:rPr>
          <w:rFonts w:ascii="Calibri" w:eastAsia="Microsoft JhengHei" w:hAnsi="Calibri"/>
          <w:szCs w:val="22"/>
        </w:rPr>
        <w:t xml:space="preserve"> industry </w:t>
      </w:r>
      <w:r w:rsidR="00C40190">
        <w:rPr>
          <w:rFonts w:ascii="Calibri" w:eastAsia="Microsoft JhengHei" w:hAnsi="Calibri"/>
          <w:szCs w:val="22"/>
        </w:rPr>
        <w:t>and the por</w:t>
      </w:r>
      <w:r w:rsidR="005C6E8F">
        <w:rPr>
          <w:rFonts w:ascii="Calibri" w:eastAsia="Microsoft JhengHei" w:hAnsi="Calibri"/>
          <w:szCs w:val="22"/>
        </w:rPr>
        <w:t>ts industry which contributed 35</w:t>
      </w:r>
      <w:r w:rsidR="00C40190">
        <w:rPr>
          <w:rFonts w:ascii="Calibri" w:eastAsia="Microsoft JhengHei" w:hAnsi="Calibri"/>
          <w:szCs w:val="22"/>
        </w:rPr>
        <w:t xml:space="preserve">% and 9% respectively to the Exchequer. </w:t>
      </w:r>
    </w:p>
    <w:p w14:paraId="022771F8" w14:textId="338F018B" w:rsidR="00CE2177" w:rsidRDefault="00CE2177" w:rsidP="004632E2">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_Ref490049814 \h </w:instrText>
      </w:r>
      <w:r>
        <w:rPr>
          <w:rFonts w:ascii="Calibri" w:eastAsia="Microsoft JhengHei" w:hAnsi="Calibri"/>
          <w:szCs w:val="22"/>
        </w:rPr>
      </w:r>
      <w:r>
        <w:rPr>
          <w:rFonts w:ascii="Calibri" w:eastAsia="Microsoft JhengHei" w:hAnsi="Calibri"/>
          <w:szCs w:val="22"/>
        </w:rPr>
        <w:fldChar w:fldCharType="separate"/>
      </w:r>
      <w:r w:rsidR="00963862">
        <w:t xml:space="preserve">Figure </w:t>
      </w:r>
      <w:r w:rsidR="00963862">
        <w:rPr>
          <w:noProof/>
        </w:rPr>
        <w:t>14</w:t>
      </w:r>
      <w:r>
        <w:rPr>
          <w:rFonts w:ascii="Calibri" w:eastAsia="Microsoft JhengHei" w:hAnsi="Calibri"/>
          <w:szCs w:val="22"/>
        </w:rPr>
        <w:fldChar w:fldCharType="end"/>
      </w:r>
      <w:r>
        <w:rPr>
          <w:rFonts w:ascii="Calibri" w:eastAsia="Microsoft JhengHei" w:hAnsi="Calibri"/>
          <w:szCs w:val="22"/>
        </w:rPr>
        <w:t xml:space="preserve"> below disaggregates the direct Exchequer cont</w:t>
      </w:r>
      <w:r w:rsidR="00C40190">
        <w:rPr>
          <w:rFonts w:ascii="Calibri" w:eastAsia="Microsoft JhengHei" w:hAnsi="Calibri"/>
          <w:szCs w:val="22"/>
        </w:rPr>
        <w:t xml:space="preserve">ribution of the Welsh </w:t>
      </w:r>
      <w:r w:rsidR="00654BBE">
        <w:rPr>
          <w:rFonts w:ascii="Calibri" w:eastAsia="Microsoft JhengHei" w:hAnsi="Calibri"/>
          <w:szCs w:val="22"/>
        </w:rPr>
        <w:t>Maritime Sector</w:t>
      </w:r>
      <w:r>
        <w:rPr>
          <w:rFonts w:ascii="Calibri" w:eastAsia="Microsoft JhengHei" w:hAnsi="Calibri"/>
          <w:szCs w:val="22"/>
        </w:rPr>
        <w:t xml:space="preserve"> by tax head across the years 2010 to 201</w:t>
      </w:r>
      <w:r w:rsidR="00C3289B">
        <w:rPr>
          <w:rFonts w:ascii="Calibri" w:eastAsia="Microsoft JhengHei" w:hAnsi="Calibri"/>
          <w:szCs w:val="22"/>
        </w:rPr>
        <w:t>7</w:t>
      </w:r>
      <w:r>
        <w:rPr>
          <w:rFonts w:ascii="Calibri" w:eastAsia="Microsoft JhengHei" w:hAnsi="Calibri"/>
          <w:szCs w:val="22"/>
        </w:rPr>
        <w:t xml:space="preserve">. </w:t>
      </w:r>
    </w:p>
    <w:p w14:paraId="78B6A9C8" w14:textId="4542A780" w:rsidR="00CE2177" w:rsidRDefault="00CE2177" w:rsidP="00CE2177">
      <w:pPr>
        <w:pStyle w:val="Caption"/>
        <w:keepNext/>
      </w:pPr>
      <w:bookmarkStart w:id="57" w:name="_Ref490049814"/>
      <w:r>
        <w:lastRenderedPageBreak/>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14</w:t>
      </w:r>
      <w:r w:rsidR="00A420C1">
        <w:rPr>
          <w:noProof/>
        </w:rPr>
        <w:fldChar w:fldCharType="end"/>
      </w:r>
      <w:bookmarkEnd w:id="57"/>
      <w:r>
        <w:t xml:space="preserve">: </w:t>
      </w:r>
      <w:r w:rsidRPr="008C18CA">
        <w:t>The direc</w:t>
      </w:r>
      <w:r w:rsidR="00C40190">
        <w:t xml:space="preserve">t contribution of the </w:t>
      </w:r>
      <w:r w:rsidR="00654BBE">
        <w:t>Maritime Sector</w:t>
      </w:r>
      <w:r w:rsidRPr="008C18CA">
        <w:t xml:space="preserve"> in </w:t>
      </w:r>
      <w:r>
        <w:t>Wales</w:t>
      </w:r>
      <w:r w:rsidRPr="008C18CA">
        <w:t xml:space="preserve"> to the UK Exchequer by tax head, 2010 to 201</w:t>
      </w:r>
      <w:r w:rsidR="00C3289B">
        <w:t>7</w:t>
      </w:r>
    </w:p>
    <w:p w14:paraId="69572998" w14:textId="38E6D319" w:rsidR="00CE2177" w:rsidRPr="00CB72B8" w:rsidRDefault="005C6E8F" w:rsidP="004632E2">
      <w:r>
        <w:rPr>
          <w:noProof/>
          <w:lang w:eastAsia="en-GB"/>
        </w:rPr>
        <w:drawing>
          <wp:inline distT="0" distB="0" distL="0" distR="0" wp14:anchorId="0A3D2A92" wp14:editId="04DD03F9">
            <wp:extent cx="5976620" cy="2988310"/>
            <wp:effectExtent l="0" t="0" r="5080" b="254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E20FA19" w14:textId="77777777" w:rsidR="00CE2177" w:rsidRPr="006A55F5" w:rsidRDefault="00CE2177" w:rsidP="00CE2177">
      <w:pPr>
        <w:spacing w:before="60" w:after="120"/>
        <w:jc w:val="right"/>
        <w:rPr>
          <w:i/>
        </w:rPr>
      </w:pPr>
      <w:r w:rsidRPr="006A55F5">
        <w:rPr>
          <w:i/>
          <w:sz w:val="18"/>
        </w:rPr>
        <w:t>Source: ONS, FAME, Cebr analysis</w:t>
      </w:r>
    </w:p>
    <w:p w14:paraId="0EF07082" w14:textId="30E7CF24" w:rsidR="00C3289B" w:rsidRDefault="00CB72B8" w:rsidP="00C3289B">
      <w:pPr>
        <w:rPr>
          <w:rFonts w:ascii="Calibri" w:eastAsia="Microsoft JhengHei" w:hAnsi="Calibri"/>
          <w:szCs w:val="22"/>
        </w:rPr>
      </w:pPr>
      <w:r>
        <w:rPr>
          <w:rFonts w:ascii="Calibri" w:eastAsia="Microsoft JhengHei" w:hAnsi="Calibri"/>
          <w:szCs w:val="22"/>
        </w:rPr>
        <w:t>Across each year, VAT and NICs were the highest contributors to the direct Excheque</w:t>
      </w:r>
      <w:r w:rsidR="00C40190">
        <w:rPr>
          <w:rFonts w:ascii="Calibri" w:eastAsia="Microsoft JhengHei" w:hAnsi="Calibri"/>
          <w:szCs w:val="22"/>
        </w:rPr>
        <w:t xml:space="preserve">r impact of the Welsh </w:t>
      </w:r>
      <w:r w:rsidR="00654BBE">
        <w:rPr>
          <w:rFonts w:ascii="Calibri" w:eastAsia="Microsoft JhengHei" w:hAnsi="Calibri"/>
          <w:szCs w:val="22"/>
        </w:rPr>
        <w:t>Maritime Sector</w:t>
      </w:r>
      <w:r>
        <w:rPr>
          <w:rFonts w:ascii="Calibri" w:eastAsia="Microsoft JhengHei" w:hAnsi="Calibri"/>
          <w:szCs w:val="22"/>
        </w:rPr>
        <w:t>, contributing £2</w:t>
      </w:r>
      <w:r w:rsidR="00C3289B">
        <w:rPr>
          <w:rFonts w:ascii="Calibri" w:eastAsia="Microsoft JhengHei" w:hAnsi="Calibri"/>
          <w:szCs w:val="22"/>
        </w:rPr>
        <w:t>7</w:t>
      </w:r>
      <w:r>
        <w:rPr>
          <w:rFonts w:ascii="Calibri" w:eastAsia="Microsoft JhengHei" w:hAnsi="Calibri"/>
          <w:szCs w:val="22"/>
        </w:rPr>
        <w:t xml:space="preserve"> million and £</w:t>
      </w:r>
      <w:r w:rsidR="005C6E8F">
        <w:rPr>
          <w:rFonts w:ascii="Calibri" w:eastAsia="Microsoft JhengHei" w:hAnsi="Calibri"/>
          <w:szCs w:val="22"/>
        </w:rPr>
        <w:t>26</w:t>
      </w:r>
      <w:r>
        <w:rPr>
          <w:rFonts w:ascii="Calibri" w:eastAsia="Microsoft JhengHei" w:hAnsi="Calibri"/>
          <w:szCs w:val="22"/>
        </w:rPr>
        <w:t xml:space="preserve"> million,</w:t>
      </w:r>
      <w:r w:rsidR="00C3289B">
        <w:rPr>
          <w:rFonts w:ascii="Calibri" w:eastAsia="Microsoft JhengHei" w:hAnsi="Calibri"/>
          <w:szCs w:val="22"/>
        </w:rPr>
        <w:t xml:space="preserve"> in 2017</w:t>
      </w:r>
      <w:r>
        <w:rPr>
          <w:rFonts w:ascii="Calibri" w:eastAsia="Microsoft JhengHei" w:hAnsi="Calibri"/>
          <w:szCs w:val="22"/>
        </w:rPr>
        <w:t xml:space="preserve"> respectively. These equate to </w:t>
      </w:r>
      <w:r w:rsidR="005C6E8F">
        <w:rPr>
          <w:rFonts w:ascii="Calibri" w:eastAsia="Microsoft JhengHei" w:hAnsi="Calibri"/>
          <w:szCs w:val="22"/>
        </w:rPr>
        <w:t>29% and 27</w:t>
      </w:r>
      <w:r>
        <w:rPr>
          <w:rFonts w:ascii="Calibri" w:eastAsia="Microsoft JhengHei" w:hAnsi="Calibri"/>
          <w:szCs w:val="22"/>
        </w:rPr>
        <w:t xml:space="preserve">% of the total contribution. </w:t>
      </w:r>
      <w:bookmarkStart w:id="58" w:name="_Toc488396657"/>
    </w:p>
    <w:p w14:paraId="6F8AD811" w14:textId="3918EEE3" w:rsidR="005B4A69" w:rsidRDefault="005B4A69" w:rsidP="00C3289B">
      <w:pPr>
        <w:pStyle w:val="Heading2"/>
      </w:pPr>
      <w:bookmarkStart w:id="59" w:name="_Toc18076344"/>
      <w:r>
        <w:t>The direct contribution through exports</w:t>
      </w:r>
      <w:bookmarkEnd w:id="58"/>
      <w:bookmarkEnd w:id="59"/>
    </w:p>
    <w:p w14:paraId="775EC486" w14:textId="2D930533" w:rsidR="005B4A69" w:rsidRDefault="005B4A69" w:rsidP="005B4A69">
      <w:pPr>
        <w:spacing w:after="120"/>
      </w:pPr>
      <w:r>
        <w:t>This subsection discusses the direct cont</w:t>
      </w:r>
      <w:r w:rsidR="00C40190">
        <w:t xml:space="preserve">ribution of the Welsh </w:t>
      </w:r>
      <w:r w:rsidR="00654BBE">
        <w:t>Maritime Sector</w:t>
      </w:r>
      <w:r w:rsidR="00386B1E">
        <w:t xml:space="preserve"> to UK economic</w:t>
      </w:r>
      <w:r>
        <w:t xml:space="preserve"> activity through the exports of goods and services. </w:t>
      </w:r>
      <w:r>
        <w:fldChar w:fldCharType="begin"/>
      </w:r>
      <w:r>
        <w:instrText xml:space="preserve"> REF _Ref490050588 \h </w:instrText>
      </w:r>
      <w:r>
        <w:fldChar w:fldCharType="separate"/>
      </w:r>
      <w:r w:rsidR="00963862">
        <w:t xml:space="preserve">Figure </w:t>
      </w:r>
      <w:r w:rsidR="00963862">
        <w:rPr>
          <w:noProof/>
        </w:rPr>
        <w:t>15</w:t>
      </w:r>
      <w:r>
        <w:fldChar w:fldCharType="end"/>
      </w:r>
      <w:r>
        <w:t xml:space="preserve"> below shows </w:t>
      </w:r>
      <w:r w:rsidR="000E0A81">
        <w:t xml:space="preserve">the </w:t>
      </w:r>
      <w:r>
        <w:t xml:space="preserve">direct contribution of </w:t>
      </w:r>
      <w:r w:rsidR="00CE4543">
        <w:t xml:space="preserve">exports to the Welsh </w:t>
      </w:r>
      <w:r w:rsidR="00654BBE">
        <w:t>Maritime Sector</w:t>
      </w:r>
      <w:r>
        <w:t>, both in levels and as a</w:t>
      </w:r>
      <w:r w:rsidR="00A51734">
        <w:t xml:space="preserve"> percentage of the UK </w:t>
      </w:r>
      <w:r w:rsidR="00654BBE">
        <w:t>Maritime Sector</w:t>
      </w:r>
      <w:r>
        <w:t xml:space="preserve"> export value as a whole, for years 2010 to 201</w:t>
      </w:r>
      <w:r w:rsidR="00B5060B">
        <w:t>7</w:t>
      </w:r>
      <w:r>
        <w:t>. The direct impacts are disaggre</w:t>
      </w:r>
      <w:r w:rsidR="00386B1E">
        <w:t>gated by industry contribution.</w:t>
      </w:r>
    </w:p>
    <w:p w14:paraId="67B1F34C" w14:textId="598F08DC" w:rsidR="005B4A69" w:rsidRDefault="00B5060B" w:rsidP="005B4A69">
      <w:pPr>
        <w:pStyle w:val="Caption"/>
        <w:keepNext/>
      </w:pPr>
      <w:bookmarkStart w:id="60" w:name="_Ref490050588"/>
      <w:r>
        <w:rPr>
          <w:noProof/>
          <w:lang w:eastAsia="en-GB"/>
        </w:rPr>
        <w:lastRenderedPageBreak/>
        <w:drawing>
          <wp:anchor distT="0" distB="0" distL="114300" distR="114300" simplePos="0" relativeHeight="251662336" behindDoc="0" locked="0" layoutInCell="1" allowOverlap="1" wp14:anchorId="2275FF8E" wp14:editId="2383DBA9">
            <wp:simplePos x="0" y="0"/>
            <wp:positionH relativeFrom="margin">
              <wp:align>center</wp:align>
            </wp:positionH>
            <wp:positionV relativeFrom="paragraph">
              <wp:posOffset>344433</wp:posOffset>
            </wp:positionV>
            <wp:extent cx="5760000" cy="2880000"/>
            <wp:effectExtent l="0" t="0" r="0" b="0"/>
            <wp:wrapTopAndBottom/>
            <wp:docPr id="25" name="Chart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r w:rsidR="005B4A69">
        <w:t xml:space="preserve">Figure </w:t>
      </w:r>
      <w:r w:rsidR="00A420C1">
        <w:rPr>
          <w:noProof/>
        </w:rPr>
        <w:fldChar w:fldCharType="begin"/>
      </w:r>
      <w:r w:rsidR="00A420C1">
        <w:rPr>
          <w:noProof/>
        </w:rPr>
        <w:instrText xml:space="preserve"> SEQ Figure \* ARABIC </w:instrText>
      </w:r>
      <w:r w:rsidR="00A420C1">
        <w:rPr>
          <w:noProof/>
        </w:rPr>
        <w:fldChar w:fldCharType="separate"/>
      </w:r>
      <w:r w:rsidR="00963862">
        <w:rPr>
          <w:noProof/>
        </w:rPr>
        <w:t>15</w:t>
      </w:r>
      <w:r w:rsidR="00A420C1">
        <w:rPr>
          <w:noProof/>
        </w:rPr>
        <w:fldChar w:fldCharType="end"/>
      </w:r>
      <w:bookmarkEnd w:id="60"/>
      <w:r w:rsidR="005B4A69">
        <w:t xml:space="preserve">: The direct contribution of the </w:t>
      </w:r>
      <w:r w:rsidR="00A51734">
        <w:t xml:space="preserve">Welsh </w:t>
      </w:r>
      <w:r w:rsidR="005B4A69">
        <w:t>Maritime through exports of goods and services</w:t>
      </w:r>
      <w:r w:rsidR="00CD65E7">
        <w:t xml:space="preserve">, </w:t>
      </w:r>
      <w:r w:rsidR="00A51734">
        <w:t>2017, £ million</w:t>
      </w:r>
    </w:p>
    <w:p w14:paraId="391AED2D" w14:textId="169D87AE" w:rsidR="005B4A69" w:rsidRDefault="005B4A69" w:rsidP="00CB72B8"/>
    <w:p w14:paraId="3ECD3CDD" w14:textId="677ADF53" w:rsidR="005B4A69" w:rsidRPr="00B86153" w:rsidRDefault="005B4A69" w:rsidP="005B4A69">
      <w:pPr>
        <w:spacing w:before="60" w:after="0"/>
        <w:jc w:val="right"/>
        <w:rPr>
          <w:i/>
        </w:rPr>
      </w:pPr>
      <w:r w:rsidRPr="002B5AEB">
        <w:rPr>
          <w:i/>
          <w:sz w:val="18"/>
        </w:rPr>
        <w:t>Source: ONS, FAME, Cebr analysis</w:t>
      </w:r>
    </w:p>
    <w:p w14:paraId="59461447" w14:textId="7FE37E0F" w:rsidR="00CB72B8" w:rsidRDefault="00CB72B8" w:rsidP="005B4A69">
      <w:pPr>
        <w:spacing w:after="120"/>
      </w:pPr>
    </w:p>
    <w:p w14:paraId="09A63B2C" w14:textId="48525DBB" w:rsidR="005B4A69" w:rsidRDefault="005B4A69" w:rsidP="005B4A69">
      <w:pPr>
        <w:spacing w:after="120"/>
      </w:pPr>
      <w:r>
        <w:t>The direct impact of e</w:t>
      </w:r>
      <w:r w:rsidR="00A51734">
        <w:t xml:space="preserve">xports from the Welsh </w:t>
      </w:r>
      <w:r w:rsidR="00654BBE">
        <w:t>Maritime Sector</w:t>
      </w:r>
      <w:r>
        <w:t xml:space="preserve"> in 201</w:t>
      </w:r>
      <w:r w:rsidR="00B5060B">
        <w:t>7</w:t>
      </w:r>
      <w:r>
        <w:t xml:space="preserve"> was </w:t>
      </w:r>
      <w:r w:rsidR="00CB72B8">
        <w:t xml:space="preserve">approximately </w:t>
      </w:r>
      <w:r>
        <w:t>£</w:t>
      </w:r>
      <w:r w:rsidR="00B5060B">
        <w:t>134</w:t>
      </w:r>
      <w:r>
        <w:t xml:space="preserve"> million: this represent</w:t>
      </w:r>
      <w:r w:rsidR="00EF3B61">
        <w:t>ed</w:t>
      </w:r>
      <w:r>
        <w:t xml:space="preserve"> approximately </w:t>
      </w:r>
      <w:r w:rsidR="00B5060B">
        <w:t>1</w:t>
      </w:r>
      <w:r>
        <w:t xml:space="preserve">% of the UK </w:t>
      </w:r>
      <w:r w:rsidR="00654BBE">
        <w:t>Maritime Sector</w:t>
      </w:r>
      <w:r>
        <w:t xml:space="preserve"> contribution as a whole. </w:t>
      </w:r>
      <w:r w:rsidR="00A51734">
        <w:t xml:space="preserve">Exports from the Welsh </w:t>
      </w:r>
      <w:r w:rsidR="00654BBE">
        <w:t>Maritime Sector</w:t>
      </w:r>
      <w:r w:rsidR="00A51734">
        <w:t xml:space="preserve"> has decline year-on-year from 2014 until 2017. The most dramatic decline in export can be linked between 2016 and 2017 where exports fell by 45%. </w:t>
      </w:r>
    </w:p>
    <w:p w14:paraId="3064EB10" w14:textId="030FF583" w:rsidR="003B3B94" w:rsidRDefault="003B3B94" w:rsidP="005B4A69">
      <w:pPr>
        <w:spacing w:after="120"/>
      </w:pPr>
      <w:r>
        <w:t xml:space="preserve">Disaggregating the direct impact of exports by industry within the Welsh </w:t>
      </w:r>
      <w:r w:rsidR="00654BBE">
        <w:t>Maritime Sector</w:t>
      </w:r>
      <w:r>
        <w:t>, we can see that the Shipping industry consistently ma</w:t>
      </w:r>
      <w:r w:rsidR="00F31DDF">
        <w:t>de</w:t>
      </w:r>
      <w:r w:rsidR="00A51734">
        <w:t xml:space="preserve"> the largest contribution at </w:t>
      </w:r>
      <w:r w:rsidR="005124F1">
        <w:t>£</w:t>
      </w:r>
      <w:r w:rsidR="00B5060B">
        <w:t>72</w:t>
      </w:r>
      <w:r w:rsidR="00A51734">
        <w:t xml:space="preserve"> million</w:t>
      </w:r>
      <w:r>
        <w:t xml:space="preserve"> followed by the Ports industry </w:t>
      </w:r>
      <w:r w:rsidR="00A51734">
        <w:t xml:space="preserve">at £43 million in 2017. </w:t>
      </w:r>
      <w:r>
        <w:t xml:space="preserve"> </w:t>
      </w:r>
    </w:p>
    <w:p w14:paraId="4EF030BE" w14:textId="3EC92150" w:rsidR="005B4A69" w:rsidRDefault="005B4A69" w:rsidP="00CE2177">
      <w:pPr>
        <w:rPr>
          <w:rFonts w:ascii="Calibri" w:eastAsia="Microsoft JhengHei" w:hAnsi="Calibri"/>
          <w:szCs w:val="22"/>
        </w:rPr>
      </w:pPr>
    </w:p>
    <w:p w14:paraId="1F63DA79" w14:textId="3DFCAE88" w:rsidR="000A478D" w:rsidRDefault="000A478D" w:rsidP="000A478D">
      <w:pPr>
        <w:pStyle w:val="Heading1"/>
      </w:pPr>
      <w:bookmarkStart w:id="61" w:name="_Toc485302015"/>
      <w:bookmarkStart w:id="62" w:name="_Toc488396658"/>
      <w:bookmarkStart w:id="63" w:name="_Toc18076345"/>
      <w:r>
        <w:lastRenderedPageBreak/>
        <w:t xml:space="preserve">The wider economic impact of the </w:t>
      </w:r>
      <w:bookmarkEnd w:id="61"/>
      <w:r w:rsidR="00654BBE">
        <w:t>Maritime Sector</w:t>
      </w:r>
      <w:r>
        <w:t xml:space="preserve"> in </w:t>
      </w:r>
      <w:bookmarkEnd w:id="62"/>
      <w:r>
        <w:t>Wales</w:t>
      </w:r>
      <w:bookmarkEnd w:id="63"/>
    </w:p>
    <w:p w14:paraId="1144420C" w14:textId="39538655" w:rsidR="00897D79" w:rsidRDefault="00897D79" w:rsidP="00897D79">
      <w:bookmarkStart w:id="64" w:name="_Toc488396663"/>
      <w:r>
        <w:t xml:space="preserve">This final section sets out the wider economic impacts of the </w:t>
      </w:r>
      <w:r w:rsidR="00654BBE">
        <w:t>Maritime Sector</w:t>
      </w:r>
      <w:r>
        <w:t xml:space="preserve"> in Wales, taking into account the indirect (or supply chain) and induced (employee spending) impacts that arise from the activities of firms operating within the sector. </w:t>
      </w:r>
    </w:p>
    <w:p w14:paraId="02A6908B" w14:textId="256EB7BF" w:rsidR="00897D79" w:rsidRDefault="00897D79" w:rsidP="00897D79">
      <w:r>
        <w:t xml:space="preserve">The macroeconomic indicators for which the wider economic impacts have been calculated are as follows: </w:t>
      </w:r>
      <w:r w:rsidR="00A51734">
        <w:t xml:space="preserve">turnover; </w:t>
      </w:r>
      <w:r>
        <w:t>GVA; employment; and the compensation of employees. Multipliers have been generated from Cebr’s regional economic impact model.</w:t>
      </w:r>
    </w:p>
    <w:p w14:paraId="4B03DCBB" w14:textId="49303D41" w:rsidR="00897D79" w:rsidRDefault="00897D79" w:rsidP="00897D79">
      <w:pPr>
        <w:pStyle w:val="Heading2"/>
      </w:pPr>
      <w:bookmarkStart w:id="65" w:name="_Toc18076346"/>
      <w:r>
        <w:t xml:space="preserve">The wider economic impacts through </w:t>
      </w:r>
      <w:r w:rsidR="00A51734">
        <w:t>turnover</w:t>
      </w:r>
      <w:bookmarkEnd w:id="65"/>
    </w:p>
    <w:p w14:paraId="6E37C4EB" w14:textId="03DF704B" w:rsidR="00897D79" w:rsidRDefault="00897D79" w:rsidP="00897D79">
      <w:pPr>
        <w:spacing w:after="120"/>
      </w:pPr>
      <w:r>
        <w:t xml:space="preserve">This subsection sets out the aggregate economic impact of the </w:t>
      </w:r>
      <w:r w:rsidR="00654BBE">
        <w:t>Maritime Sector</w:t>
      </w:r>
      <w:r>
        <w:t xml:space="preserve"> in Wales through </w:t>
      </w:r>
      <w:r w:rsidR="00A51734">
        <w:t>business turnover</w:t>
      </w:r>
      <w:r>
        <w:t xml:space="preserve">. </w:t>
      </w:r>
      <w:r>
        <w:fldChar w:fldCharType="begin"/>
      </w:r>
      <w:r>
        <w:instrText xml:space="preserve"> REF _Ref490052620 \h </w:instrText>
      </w:r>
      <w:r>
        <w:fldChar w:fldCharType="separate"/>
      </w:r>
      <w:r w:rsidR="00963862">
        <w:t xml:space="preserve">Figure </w:t>
      </w:r>
      <w:r w:rsidR="00963862">
        <w:rPr>
          <w:noProof/>
        </w:rPr>
        <w:t>16</w:t>
      </w:r>
      <w:r>
        <w:fldChar w:fldCharType="end"/>
      </w:r>
      <w:r>
        <w:t xml:space="preserve"> below illustrates the turnover multipliers for the </w:t>
      </w:r>
      <w:r w:rsidR="00654BBE">
        <w:t>Maritime Sector</w:t>
      </w:r>
      <w:r>
        <w:t xml:space="preserve"> in Wales. The Welsh </w:t>
      </w:r>
      <w:r w:rsidR="00654BBE">
        <w:t>Maritime Sector</w:t>
      </w:r>
      <w:r>
        <w:t xml:space="preserve"> directly contributed £500 million in turnover in 2017, where £340 million worth of turnover is stimulated in supply chains and £190 million worth of turnover in the wider economy when direct and indirect employees spend their earnings. Once the direct, indirect and induced economic channels are taken into consideration the Welsh </w:t>
      </w:r>
      <w:r w:rsidR="00654BBE">
        <w:t>Maritime Sector</w:t>
      </w:r>
      <w:r>
        <w:t xml:space="preserve"> contributed £1 billion to the wider UK economy. </w:t>
      </w:r>
    </w:p>
    <w:p w14:paraId="6C8A4F66" w14:textId="1137C3C5" w:rsidR="00897D79" w:rsidRPr="00E63950" w:rsidRDefault="00897D79" w:rsidP="00897D79">
      <w:pPr>
        <w:spacing w:after="120"/>
        <w:rPr>
          <w:b/>
        </w:rPr>
      </w:pPr>
      <w:r>
        <w:rPr>
          <w:b/>
        </w:rPr>
        <w:t>Alternatively, this can be interpreted as for</w:t>
      </w:r>
      <w:r w:rsidRPr="00C65850">
        <w:rPr>
          <w:b/>
        </w:rPr>
        <w:t xml:space="preserve"> every £1 of </w:t>
      </w:r>
      <w:r w:rsidR="00B60125">
        <w:rPr>
          <w:b/>
        </w:rPr>
        <w:t>turnover</w:t>
      </w:r>
      <w:r w:rsidRPr="00C65850">
        <w:rPr>
          <w:b/>
        </w:rPr>
        <w:t xml:space="preserve"> initially </w:t>
      </w:r>
      <w:r w:rsidR="00B60125">
        <w:rPr>
          <w:b/>
        </w:rPr>
        <w:t>contributed</w:t>
      </w:r>
      <w:r w:rsidRPr="00C65850">
        <w:rPr>
          <w:b/>
        </w:rPr>
        <w:t xml:space="preserve"> by the </w:t>
      </w:r>
      <w:r w:rsidR="00654BBE">
        <w:rPr>
          <w:b/>
        </w:rPr>
        <w:t>Maritime Sector</w:t>
      </w:r>
      <w:r>
        <w:rPr>
          <w:b/>
        </w:rPr>
        <w:t xml:space="preserve"> in Wales in 2017,</w:t>
      </w:r>
      <w:r w:rsidRPr="00C65850">
        <w:rPr>
          <w:b/>
        </w:rPr>
        <w:t xml:space="preserve"> the </w:t>
      </w:r>
      <w:r>
        <w:rPr>
          <w:b/>
        </w:rPr>
        <w:t>Welsh and UK economies</w:t>
      </w:r>
      <w:r w:rsidRPr="00C65850">
        <w:rPr>
          <w:b/>
        </w:rPr>
        <w:t xml:space="preserve"> as a whole </w:t>
      </w:r>
      <w:r>
        <w:rPr>
          <w:b/>
        </w:rPr>
        <w:t xml:space="preserve">experienced </w:t>
      </w:r>
      <w:r w:rsidRPr="00C65850">
        <w:rPr>
          <w:b/>
        </w:rPr>
        <w:t xml:space="preserve">an increase in </w:t>
      </w:r>
      <w:r w:rsidR="00B60125">
        <w:rPr>
          <w:b/>
        </w:rPr>
        <w:t xml:space="preserve">business turnover </w:t>
      </w:r>
      <w:r>
        <w:rPr>
          <w:b/>
        </w:rPr>
        <w:t>of £2.06</w:t>
      </w:r>
      <w:r w:rsidRPr="00C65850">
        <w:rPr>
          <w:b/>
        </w:rPr>
        <w:t>.</w:t>
      </w:r>
      <w:r w:rsidRPr="00C65850">
        <w:t xml:space="preserve"> </w:t>
      </w:r>
    </w:p>
    <w:p w14:paraId="1114E8C7" w14:textId="6B10225D" w:rsidR="00897D79" w:rsidRDefault="00897D79" w:rsidP="00897D79">
      <w:pPr>
        <w:pStyle w:val="Caption"/>
        <w:keepNext/>
      </w:pPr>
      <w:bookmarkStart w:id="66" w:name="_Ref490052620"/>
      <w:r>
        <w:t xml:space="preserve">Figure </w:t>
      </w:r>
      <w:r>
        <w:rPr>
          <w:noProof/>
        </w:rPr>
        <w:fldChar w:fldCharType="begin"/>
      </w:r>
      <w:r>
        <w:rPr>
          <w:noProof/>
        </w:rPr>
        <w:instrText xml:space="preserve"> SEQ Figure \* ARABIC </w:instrText>
      </w:r>
      <w:r>
        <w:rPr>
          <w:noProof/>
        </w:rPr>
        <w:fldChar w:fldCharType="separate"/>
      </w:r>
      <w:r w:rsidR="00963862">
        <w:rPr>
          <w:noProof/>
        </w:rPr>
        <w:t>16</w:t>
      </w:r>
      <w:r>
        <w:rPr>
          <w:noProof/>
        </w:rPr>
        <w:fldChar w:fldCharType="end"/>
      </w:r>
      <w:bookmarkEnd w:id="66"/>
      <w:r>
        <w:t xml:space="preserve">: Domestic output multiplier impacts of the </w:t>
      </w:r>
      <w:r w:rsidR="00654BBE">
        <w:t>Maritime Sector</w:t>
      </w:r>
      <w:r>
        <w:t xml:space="preserve"> in Wales, 201</w:t>
      </w:r>
      <w:r w:rsidRPr="0064670D">
        <w:rPr>
          <w:noProof/>
          <w:lang w:eastAsia="en-GB"/>
        </w:rPr>
        <mc:AlternateContent>
          <mc:Choice Requires="wpg">
            <w:drawing>
              <wp:anchor distT="0" distB="0" distL="114300" distR="114300" simplePos="0" relativeHeight="251665408" behindDoc="0" locked="0" layoutInCell="1" allowOverlap="1" wp14:anchorId="2E4B38A0" wp14:editId="16C8132A">
                <wp:simplePos x="0" y="0"/>
                <wp:positionH relativeFrom="column">
                  <wp:posOffset>50538</wp:posOffset>
                </wp:positionH>
                <wp:positionV relativeFrom="paragraph">
                  <wp:posOffset>277495</wp:posOffset>
                </wp:positionV>
                <wp:extent cx="5760000" cy="2142000"/>
                <wp:effectExtent l="0" t="0" r="0" b="0"/>
                <wp:wrapNone/>
                <wp:docPr id="18" name="Group 3"/>
                <wp:cNvGraphicFramePr/>
                <a:graphic xmlns:a="http://schemas.openxmlformats.org/drawingml/2006/main">
                  <a:graphicData uri="http://schemas.microsoft.com/office/word/2010/wordprocessingGroup">
                    <wpg:wgp>
                      <wpg:cNvGrpSpPr/>
                      <wpg:grpSpPr>
                        <a:xfrm>
                          <a:off x="0" y="0"/>
                          <a:ext cx="5760000" cy="2142000"/>
                          <a:chOff x="0" y="0"/>
                          <a:chExt cx="6508545" cy="1930619"/>
                        </a:xfrm>
                      </wpg:grpSpPr>
                      <wps:wsp>
                        <wps:cNvPr id="20" name="Down Arrow 20"/>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1" name="Down Arrow 21"/>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2" name="Rectangle 22"/>
                        <wps:cNvSpPr/>
                        <wps:spPr>
                          <a:xfrm>
                            <a:off x="12495" y="1584319"/>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2BF10D8"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£1bn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6" name="Rounded Rectangle 26"/>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1F55211"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1B5A4572" w14:textId="77777777" w:rsidR="001E63EE" w:rsidRDefault="001E63EE" w:rsidP="00897D79">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126F623"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£500m</w:t>
                              </w:r>
                            </w:p>
                          </w:txbxContent>
                        </wps:txbx>
                        <wps:bodyPr rtlCol="0" anchor="t" anchorCtr="0"/>
                      </wps:wsp>
                      <wps:wsp>
                        <wps:cNvPr id="27" name="Rounded Rectangle 27"/>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700E5BF"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£340m</w:t>
                              </w:r>
                            </w:p>
                          </w:txbxContent>
                        </wps:txbx>
                        <wps:bodyPr rtlCol="0" anchor="t" anchorCtr="0"/>
                      </wps:wsp>
                      <wps:wsp>
                        <wps:cNvPr id="32" name="Rounded Rectangle 32"/>
                        <wps:cNvSpPr/>
                        <wps:spPr>
                          <a:xfrm>
                            <a:off x="4648616" y="462538"/>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5D61B6"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£190m</w:t>
                              </w:r>
                            </w:p>
                          </w:txbxContent>
                        </wps:txbx>
                        <wps:bodyPr rtlCol="0" anchor="t" anchorCtr="0"/>
                      </wps:wsp>
                      <wps:wsp>
                        <wps:cNvPr id="33" name="Rectangle 33"/>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897B14F"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2E4B38A0" id="Group 3" o:spid="_x0000_s1026" style="position:absolute;margin-left:4pt;margin-top:21.85pt;width:453.55pt;height:168.65pt;z-index:251665408"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">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0" o:spid="_x0000_s1027"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S270A&#10;AADbAAAADwAAAGRycy9kb3ducmV2LnhtbERPS4vCMBC+C/sfwix403QFdVuNooLg1cdlb7PNbFvs&#10;TEqT1fjvzUHw+PG9l+vIrbpR7xsnBr7GGSiS0tlGKgOX8370DcoHFIutEzLwIA/r1cdgiYV1dznS&#10;7RQqlULEF2igDqErtPZlTYx+7DqSxP25njEk2Ffa9nhP4dzqSZbNNGMjqaHGjnY1ldfTPxuQnDn6&#10;3FH346fbhh+/cbuZGzP8jJsFqEAxvMUv98EamKT16Uv6AXr1B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TeS270AAADbAAAADwAAAAAAAAAAAAAAAACYAgAAZHJzL2Rvd25yZXYu&#10;eG1sUEsFBgAAAAAEAAQA9QAAAIIDAAAAAA==&#10;" adj="10800" fillcolor="#c4c4c6 [1302]" stroked="f" strokeweight="2pt"/>
                <v:shape id="Down Arrow 21" o:spid="_x0000_s1028"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ns3QMAA&#10;AADbAAAADwAAAGRycy9kb3ducmV2LnhtbESPzYoCMRCE74LvEFrYm2YUVtfRKCos7NWfy97aSTsz&#10;ON0ZJlHj228WBI9FVX1FLdeRG3WnztdODIxHGSiSwtlaSgOn4/fwC5QPKBYbJ2TgSR7Wq35vibl1&#10;D9nT/RBKlSDiczRQhdDmWvuiIkY/ci1J8i6uYwxJdqW2HT4SnBs9ybKpZqwlLVTY0q6i4nq4sQGZ&#10;M0c/d9T++s9tzc9z3G5mxnwM4mYBKlAM7/Cr/WMNTMbw/yX9AL36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ns3QMAAAADbAAAADwAAAAAAAAAAAAAAAACYAgAAZHJzL2Rvd25y&#10;ZXYueG1sUEsFBgAAAAAEAAQA9QAAAIUDAAAAAA==&#10;" adj="10800" fillcolor="#c4c4c6 [1302]" stroked="f" strokeweight="2pt"/>
                <v:rect id="Rectangle 22" o:spid="_x0000_s1029"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CbwsEA&#10;AADbAAAADwAAAGRycy9kb3ducmV2LnhtbESPzWrDMBCE74W8g9hCbo1cg0txrARjCLTHuE3Oi7X+&#10;IdLKWErs9umjQKHHYWa+YYr9Yo240eQHxwpeNwkI4sbpgTsF31+Hl3cQPiBrNI5JwQ952O9WTwXm&#10;2s18pFsdOhEh7HNU0Icw5lL6pieLfuNG4ui1brIYopw6qSecI9wamSbJm7Q4cFzocaSqp+ZSX62C&#10;jOkzC/WvqU5l2V6xOVVnb5RaPy/lFkSgJfyH/9ofWkGawuNL/AFyd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Qm8LBAAAA2wAAAA8AAAAAAAAAAAAAAAAAmAIAAGRycy9kb3du&#10;cmV2LnhtbFBLBQYAAAAABAAEAPUAAACGAwAAAAA=&#10;" fillcolor="#6d6e71 [3206]" stroked="f" strokeweight="2pt">
                  <v:textbox>
                    <w:txbxContent>
                      <w:p w14:paraId="12BF10D8"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£1bn</w:t>
                        </w:r>
                      </w:p>
                    </w:txbxContent>
                  </v:textbox>
                </v:rect>
                <v:roundrect id="Rounded Rectangle 26" o:spid="_x0000_s1030"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VWo8MA&#10;AADbAAAADwAAAGRycy9kb3ducmV2LnhtbESPzWrDMBCE74W8g9hALqWWm4IJTpQQAqG91u0DbK31&#10;TyytjKXaTp6+KgRyHGbmG2Z3mK0RIw2+dazgNUlBEJdOt1wr+P46v2xA+ICs0TgmBVfycNgvnnaY&#10;azfxJ41FqEWEsM9RQRNCn0vpy4Ys+sT1xNGr3GAxRDnUUg84Rbg1cp2mmbTYclxosKdTQ2VX/FoF&#10;Nzy/VVfz3rc/43PnzLSZLl2p1Go5H7cgAs3hEb63P7SCdQb/X+IPkP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VWo8MAAADbAAAADwAAAAAAAAAAAAAAAACYAgAAZHJzL2Rv&#10;d25yZXYueG1sUEsFBgAAAAAEAAQA9QAAAIgDAAAAAA==&#10;" fillcolor="#008c9b [3204]" stroked="f" strokeweight="2pt">
                  <v:textbox>
                    <w:txbxContent>
                      <w:p w14:paraId="61F55211"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w:t>
                        </w:r>
                      </w:p>
                      <w:p w14:paraId="1B5A4572" w14:textId="77777777" w:rsidR="001E63EE" w:rsidRDefault="001E63EE" w:rsidP="00897D79">
                        <w:pPr>
                          <w:pStyle w:val="NormalWeb"/>
                          <w:spacing w:before="0" w:beforeAutospacing="0" w:after="0" w:afterAutospacing="0"/>
                          <w:jc w:val="center"/>
                        </w:pPr>
                        <w:r>
                          <w:rPr>
                            <w:rFonts w:asciiTheme="minorHAnsi" w:hAnsi="+mn-ea" w:cstheme="minorBidi"/>
                            <w:b/>
                            <w:bCs/>
                            <w:color w:val="FFFFFF" w:themeColor="background1"/>
                            <w:kern w:val="24"/>
                            <w:sz w:val="26"/>
                            <w:szCs w:val="26"/>
                          </w:rPr>
                          <w:t xml:space="preserve"> </w:t>
                        </w:r>
                      </w:p>
                      <w:p w14:paraId="7126F623"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£500m</w:t>
                        </w:r>
                      </w:p>
                    </w:txbxContent>
                  </v:textbox>
                </v:roundrect>
                <v:roundrect id="Rounded Rectangle 27" o:spid="_x0000_s1031"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kvasMA&#10;AADbAAAADwAAAGRycy9kb3ducmV2LnhtbESPQWvCQBSE74L/YXlCb7ppIramriKlBS8VGuv9kX1N&#10;QrNv091tEv+9WxA8DjPzDbPZjaYVPTnfWFbwuEhAEJdWN1wp+Dq9z59B+ICssbVMCi7kYbedTjaY&#10;azvwJ/VFqESEsM9RQR1Cl0vpy5oM+oXtiKP3bZ3BEKWrpHY4RLhpZZokK2mw4bhQY0evNZU/xZ9R&#10;kHR764+XZZad3s4f4XepXbPWSj3Mxv0LiEBjuIdv7YNWkD7B/5f4A+T2C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2kvasMAAADbAAAADwAAAAAAAAAAAAAAAACYAgAAZHJzL2Rv&#10;d25yZXYueG1sUEsFBgAAAAAEAAQA9QAAAIgDAAAAAA==&#10;" fillcolor="#0070c0" stroked="f" strokeweight="2pt">
                  <v:textbox>
                    <w:txbxContent>
                      <w:p w14:paraId="4700E5BF"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£340m</w:t>
                        </w:r>
                      </w:p>
                    </w:txbxContent>
                  </v:textbox>
                </v:roundrect>
                <v:roundrect id="Rounded Rectangle 32" o:spid="_x0000_s1032" style="position:absolute;left:46486;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btgMMA&#10;AADbAAAADwAAAGRycy9kb3ducmV2LnhtbESPQYvCMBSE7wv+h/AEL4umKopUo4ggLO5Fq96fzbMt&#10;Ni+1yWrXX28EweMwM98ws0VjSnGj2hWWFfR7EQji1OqCMwWH/bo7AeE8ssbSMin4JweLeetrhrG2&#10;d97RLfGZCBB2MSrIva9iKV2ak0HXsxVx8M62NuiDrDOpa7wHuCnlIIrG0mDBYSHHilY5pZfkzygo&#10;NmO7/h5e96fJkbeJ/O0/RpejUp12s5yC8NT4T/jd/tEKhgN4fQk/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HbtgMMAAADbAAAADwAAAAAAAAAAAAAAAACYAgAAZHJzL2Rv&#10;d25yZXYueG1sUEsFBgAAAAAEAAQA9QAAAIgDAAAAAA==&#10;" fillcolor="#7030a0" stroked="f" strokeweight="2pt">
                  <v:textbox>
                    <w:txbxContent>
                      <w:p w14:paraId="625D61B6"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£190m</w:t>
                        </w:r>
                      </w:p>
                    </w:txbxContent>
                  </v:textbox>
                </v:roundrect>
                <v:rect id="Rectangle 33" o:spid="_x0000_s1033"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WohMIA&#10;AADbAAAADwAAAGRycy9kb3ducmV2LnhtbESPzWrDMBCE74W8g9hAb7WcGpfiRAnGEGiOcZueF2v9&#10;Q6SVsZTE6dNHhUKPw8x8w2x2szXiSpMfHCtYJSkI4sbpgTsFX5/7l3cQPiBrNI5JwZ087LaLpw0W&#10;2t34SNc6dCJC2BeooA9hLKT0TU8WfeJG4ui1brIYopw6qSe8Rbg18jVN36TFgeNCjyNVPTXn+mIV&#10;5EyHPNQ/pjqVZXvB5lR9e6PU83Iu1yACzeE//Nf+0AqyDH6/xB8gt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dxaiEwgAAANsAAAAPAAAAAAAAAAAAAAAAAJgCAABkcnMvZG93&#10;bnJldi54bWxQSwUGAAAAAAQABAD1AAAAhwMAAAAA&#10;" fillcolor="#6d6e71 [3206]" stroked="f" strokeweight="2pt">
                  <v:textbox>
                    <w:txbxContent>
                      <w:p w14:paraId="7897B14F"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Turnover</w:t>
                        </w:r>
                      </w:p>
                    </w:txbxContent>
                  </v:textbox>
                </v:rect>
              </v:group>
            </w:pict>
          </mc:Fallback>
        </mc:AlternateContent>
      </w:r>
      <w:r>
        <w:t>7</w:t>
      </w:r>
      <w:r w:rsidR="009C3717">
        <w:t xml:space="preserve">, £ million </w:t>
      </w:r>
    </w:p>
    <w:p w14:paraId="6A32E359" w14:textId="77777777" w:rsidR="00897D79" w:rsidRDefault="00897D79" w:rsidP="00897D79"/>
    <w:p w14:paraId="3D48AAFE" w14:textId="77777777" w:rsidR="00897D79" w:rsidRDefault="00897D79" w:rsidP="00897D79"/>
    <w:p w14:paraId="27D4AE10" w14:textId="77777777" w:rsidR="00897D79" w:rsidRDefault="00897D79" w:rsidP="00897D79"/>
    <w:p w14:paraId="252662D9" w14:textId="77777777" w:rsidR="00897D79" w:rsidRDefault="00897D79" w:rsidP="00897D79"/>
    <w:p w14:paraId="4CAAD9CD" w14:textId="77777777" w:rsidR="00897D79" w:rsidRDefault="00897D79" w:rsidP="00897D79"/>
    <w:p w14:paraId="51726570" w14:textId="77777777" w:rsidR="00897D79" w:rsidRDefault="00897D79" w:rsidP="00897D79"/>
    <w:p w14:paraId="2CAA5CF8" w14:textId="77777777" w:rsidR="00897D79" w:rsidRDefault="00897D79" w:rsidP="00897D79"/>
    <w:p w14:paraId="1EBD636C" w14:textId="77777777" w:rsidR="00897D79" w:rsidRDefault="00897D79" w:rsidP="00897D79"/>
    <w:p w14:paraId="629BEB17" w14:textId="77777777" w:rsidR="00897D79" w:rsidRPr="00C81A27" w:rsidRDefault="00897D79" w:rsidP="00897D79">
      <w:pPr>
        <w:spacing w:before="60" w:after="120"/>
        <w:ind w:left="5760" w:firstLine="720"/>
        <w:rPr>
          <w:rStyle w:val="SubtleEmphasis"/>
          <w:color w:val="auto"/>
          <w:sz w:val="18"/>
        </w:rPr>
      </w:pPr>
      <w:r>
        <w:t xml:space="preserve">    </w:t>
      </w:r>
      <w:r w:rsidRPr="00C81A27">
        <w:rPr>
          <w:rStyle w:val="SubtleEmphasis"/>
          <w:color w:val="auto"/>
          <w:sz w:val="18"/>
        </w:rPr>
        <w:t>Source: ONS, FAME, Cebr analysis</w:t>
      </w:r>
    </w:p>
    <w:p w14:paraId="1296CECA" w14:textId="47D5FC47" w:rsidR="00897D79" w:rsidRDefault="00897D79" w:rsidP="00897D79">
      <w:pPr>
        <w:spacing w:before="60" w:after="120"/>
      </w:pPr>
      <w:r>
        <w:rPr>
          <w:rStyle w:val="SubtleEmphasis"/>
          <w:i w:val="0"/>
          <w:szCs w:val="22"/>
        </w:rPr>
        <w:fldChar w:fldCharType="begin"/>
      </w:r>
      <w:r>
        <w:rPr>
          <w:rStyle w:val="SubtleEmphasis"/>
          <w:i w:val="0"/>
          <w:szCs w:val="22"/>
        </w:rPr>
        <w:instrText xml:space="preserve"> REF _Ref490054807 \h </w:instrText>
      </w:r>
      <w:r>
        <w:rPr>
          <w:rStyle w:val="SubtleEmphasis"/>
          <w:i w:val="0"/>
          <w:szCs w:val="22"/>
        </w:rPr>
      </w:r>
      <w:r>
        <w:rPr>
          <w:rStyle w:val="SubtleEmphasis"/>
          <w:i w:val="0"/>
          <w:szCs w:val="22"/>
        </w:rPr>
        <w:fldChar w:fldCharType="separate"/>
      </w:r>
      <w:r w:rsidR="00963862">
        <w:t xml:space="preserve">Table </w:t>
      </w:r>
      <w:r w:rsidR="00963862">
        <w:rPr>
          <w:noProof/>
        </w:rPr>
        <w:t>10</w:t>
      </w:r>
      <w:r>
        <w:rPr>
          <w:rStyle w:val="SubtleEmphasis"/>
          <w:i w:val="0"/>
          <w:szCs w:val="22"/>
        </w:rPr>
        <w:fldChar w:fldCharType="end"/>
      </w:r>
      <w:r>
        <w:rPr>
          <w:rStyle w:val="SubtleEmphasis"/>
          <w:i w:val="0"/>
          <w:szCs w:val="22"/>
        </w:rPr>
        <w:t xml:space="preserve"> </w:t>
      </w:r>
      <w:r>
        <w:t>below shows the estimated direct and aggregate turnover impacts from the individual Maritime industries when taken in isolation.</w:t>
      </w:r>
      <w:r w:rsidRPr="00020D65">
        <w:t xml:space="preserve"> </w:t>
      </w:r>
      <w:r>
        <w:t xml:space="preserve">The shipping industry contributed the highest direct impact to turnover in 2017 with £250 million equivalent to 50% of total direct turnover of the Welsh </w:t>
      </w:r>
      <w:r w:rsidR="00654BBE">
        <w:t>Maritime Sector</w:t>
      </w:r>
      <w:r>
        <w:t xml:space="preserve">. The second largest turnover impact can be attributed to marine engineering and scientific industry which contributed £130 million in 2017. Unsurprisingly, shipping accounts for the largest aggregate impact at £530 million followed by marine engineering and scientific industry at £240 million. </w:t>
      </w:r>
    </w:p>
    <w:p w14:paraId="3E87D168" w14:textId="77777777" w:rsidR="00897D79" w:rsidRDefault="00897D79" w:rsidP="00897D79">
      <w:pPr>
        <w:spacing w:before="60" w:after="120"/>
      </w:pPr>
    </w:p>
    <w:p w14:paraId="7B795B31" w14:textId="77777777" w:rsidR="00897D79" w:rsidRPr="00256745" w:rsidRDefault="00897D79" w:rsidP="00897D79">
      <w:pPr>
        <w:spacing w:before="60" w:after="120"/>
        <w:rPr>
          <w:rFonts w:ascii="Arial" w:hAnsi="Arial"/>
          <w:sz w:val="20"/>
        </w:rPr>
      </w:pPr>
    </w:p>
    <w:p w14:paraId="79AC73E3" w14:textId="1E984189" w:rsidR="00897D79" w:rsidRDefault="00897D79" w:rsidP="00897D79">
      <w:pPr>
        <w:pStyle w:val="Caption"/>
        <w:keepNext/>
      </w:pPr>
      <w:bookmarkStart w:id="67" w:name="_Ref490054807"/>
      <w:r>
        <w:lastRenderedPageBreak/>
        <w:t xml:space="preserve">Table </w:t>
      </w:r>
      <w:r>
        <w:rPr>
          <w:noProof/>
        </w:rPr>
        <w:fldChar w:fldCharType="begin"/>
      </w:r>
      <w:r>
        <w:rPr>
          <w:noProof/>
        </w:rPr>
        <w:instrText xml:space="preserve"> SEQ Table \* ARABIC </w:instrText>
      </w:r>
      <w:r>
        <w:rPr>
          <w:noProof/>
        </w:rPr>
        <w:fldChar w:fldCharType="separate"/>
      </w:r>
      <w:r w:rsidR="00963862">
        <w:rPr>
          <w:noProof/>
        </w:rPr>
        <w:t>10</w:t>
      </w:r>
      <w:r>
        <w:rPr>
          <w:noProof/>
        </w:rPr>
        <w:fldChar w:fldCharType="end"/>
      </w:r>
      <w:bookmarkEnd w:id="67"/>
      <w:r>
        <w:t xml:space="preserve">: </w:t>
      </w:r>
      <w:r w:rsidRPr="008A35B6">
        <w:t>Domestic output impact by each Ma</w:t>
      </w:r>
      <w:r w:rsidR="00CD65E7">
        <w:t xml:space="preserve">ritime industry in Wales, </w:t>
      </w:r>
      <w:r>
        <w:t>2017</w:t>
      </w:r>
      <w:r w:rsidRPr="008A35B6">
        <w:t>, £ million</w:t>
      </w:r>
    </w:p>
    <w:tbl>
      <w:tblPr>
        <w:tblW w:w="9509" w:type="dxa"/>
        <w:tblLook w:val="04A0" w:firstRow="1" w:lastRow="0" w:firstColumn="1" w:lastColumn="0" w:noHBand="0" w:noVBand="1"/>
      </w:tblPr>
      <w:tblGrid>
        <w:gridCol w:w="3772"/>
        <w:gridCol w:w="1462"/>
        <w:gridCol w:w="1425"/>
        <w:gridCol w:w="1425"/>
        <w:gridCol w:w="1425"/>
      </w:tblGrid>
      <w:tr w:rsidR="00897D79" w:rsidRPr="0064670D" w14:paraId="71D9FC0E" w14:textId="77777777" w:rsidTr="00610DA5">
        <w:trPr>
          <w:trHeight w:val="604"/>
        </w:trPr>
        <w:tc>
          <w:tcPr>
            <w:tcW w:w="3772" w:type="dxa"/>
            <w:tcBorders>
              <w:top w:val="single" w:sz="8" w:space="0" w:color="FFFFFF"/>
              <w:left w:val="nil"/>
              <w:bottom w:val="single" w:sz="12" w:space="0" w:color="FFFFFF"/>
              <w:right w:val="single" w:sz="8" w:space="0" w:color="FFFFFF"/>
            </w:tcBorders>
            <w:shd w:val="clear" w:color="000000" w:fill="008C9B"/>
            <w:vAlign w:val="center"/>
            <w:hideMark/>
          </w:tcPr>
          <w:p w14:paraId="67E6CCDD" w14:textId="77777777" w:rsidR="00897D79" w:rsidRPr="0064670D" w:rsidRDefault="00897D79" w:rsidP="00916197">
            <w:pPr>
              <w:spacing w:after="0"/>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Turnover in 2017</w:t>
            </w:r>
          </w:p>
        </w:tc>
        <w:tc>
          <w:tcPr>
            <w:tcW w:w="1462" w:type="dxa"/>
            <w:tcBorders>
              <w:top w:val="single" w:sz="8" w:space="0" w:color="FFFFFF"/>
              <w:left w:val="nil"/>
              <w:bottom w:val="single" w:sz="12" w:space="0" w:color="FFFFFF"/>
              <w:right w:val="single" w:sz="8" w:space="0" w:color="FFFFFF"/>
            </w:tcBorders>
            <w:shd w:val="clear" w:color="000000" w:fill="008C9B"/>
            <w:vAlign w:val="center"/>
            <w:hideMark/>
          </w:tcPr>
          <w:p w14:paraId="1C4E2ECD" w14:textId="26B0D0DA"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7E663341" w14:textId="6848FC28"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Indirect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31C93B13" w14:textId="59AA8091"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Induced Impact</w:t>
            </w:r>
            <w:r w:rsidR="00610DA5">
              <w:rPr>
                <w:rFonts w:ascii="Calibri" w:eastAsia="Times New Roman" w:hAnsi="Calibri"/>
                <w:b/>
                <w:bCs/>
                <w:color w:val="FFFFFF"/>
                <w:sz w:val="20"/>
                <w:lang w:eastAsia="en-GB"/>
              </w:rPr>
              <w:t xml:space="preserve"> (£m)</w:t>
            </w:r>
          </w:p>
        </w:tc>
        <w:tc>
          <w:tcPr>
            <w:tcW w:w="1425" w:type="dxa"/>
            <w:tcBorders>
              <w:top w:val="single" w:sz="8" w:space="0" w:color="FFFFFF"/>
              <w:left w:val="nil"/>
              <w:bottom w:val="single" w:sz="12" w:space="0" w:color="FFFFFF"/>
              <w:right w:val="single" w:sz="8" w:space="0" w:color="FFFFFF"/>
            </w:tcBorders>
            <w:shd w:val="clear" w:color="000000" w:fill="008C9B"/>
            <w:vAlign w:val="center"/>
            <w:hideMark/>
          </w:tcPr>
          <w:p w14:paraId="0FEC287D" w14:textId="7D133362" w:rsidR="00897D79" w:rsidRPr="0064670D" w:rsidRDefault="00897D79" w:rsidP="00916197">
            <w:pPr>
              <w:spacing w:after="0"/>
              <w:jc w:val="center"/>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4670D" w14:paraId="3F9402A7" w14:textId="77777777" w:rsidTr="00610DA5">
        <w:trPr>
          <w:trHeight w:val="380"/>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52A78B36" w14:textId="77777777" w:rsidR="00897D79" w:rsidRPr="0064670D" w:rsidRDefault="00897D79" w:rsidP="00916197">
            <w:pPr>
              <w:spacing w:after="0"/>
              <w:rPr>
                <w:rFonts w:ascii="Calibri" w:eastAsia="Times New Roman" w:hAnsi="Calibri"/>
                <w:b/>
                <w:bCs/>
                <w:color w:val="FFFFFF"/>
                <w:sz w:val="20"/>
                <w:lang w:eastAsia="en-GB"/>
              </w:rPr>
            </w:pPr>
            <w:r w:rsidRPr="0064670D">
              <w:rPr>
                <w:rFonts w:ascii="Calibri" w:eastAsia="Times New Roman" w:hAnsi="Calibri"/>
                <w:b/>
                <w:bCs/>
                <w:color w:val="FFFFFF"/>
                <w:sz w:val="20"/>
                <w:lang w:eastAsia="en-GB"/>
              </w:rPr>
              <w:t>TOTAL</w:t>
            </w:r>
          </w:p>
        </w:tc>
        <w:tc>
          <w:tcPr>
            <w:tcW w:w="1462" w:type="dxa"/>
            <w:tcBorders>
              <w:top w:val="nil"/>
              <w:left w:val="nil"/>
              <w:bottom w:val="single" w:sz="8" w:space="0" w:color="FFFFFF"/>
              <w:right w:val="single" w:sz="8" w:space="0" w:color="FFFFFF"/>
            </w:tcBorders>
            <w:shd w:val="clear" w:color="000000" w:fill="E7EEEF"/>
            <w:vAlign w:val="center"/>
            <w:hideMark/>
          </w:tcPr>
          <w:p w14:paraId="009486A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493</w:t>
            </w:r>
          </w:p>
        </w:tc>
        <w:tc>
          <w:tcPr>
            <w:tcW w:w="1425" w:type="dxa"/>
            <w:tcBorders>
              <w:top w:val="nil"/>
              <w:left w:val="nil"/>
              <w:bottom w:val="single" w:sz="8" w:space="0" w:color="FFFFFF"/>
              <w:right w:val="single" w:sz="8" w:space="0" w:color="FFFFFF"/>
            </w:tcBorders>
            <w:shd w:val="clear" w:color="000000" w:fill="E7EEEF"/>
            <w:vAlign w:val="center"/>
            <w:hideMark/>
          </w:tcPr>
          <w:p w14:paraId="5CFDE3E5"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338</w:t>
            </w:r>
          </w:p>
        </w:tc>
        <w:tc>
          <w:tcPr>
            <w:tcW w:w="1425" w:type="dxa"/>
            <w:tcBorders>
              <w:top w:val="nil"/>
              <w:left w:val="nil"/>
              <w:bottom w:val="single" w:sz="8" w:space="0" w:color="FFFFFF"/>
              <w:right w:val="single" w:sz="8" w:space="0" w:color="FFFFFF"/>
            </w:tcBorders>
            <w:shd w:val="clear" w:color="000000" w:fill="E7EEEF"/>
            <w:vAlign w:val="center"/>
            <w:hideMark/>
          </w:tcPr>
          <w:p w14:paraId="131CA96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186</w:t>
            </w:r>
          </w:p>
        </w:tc>
        <w:tc>
          <w:tcPr>
            <w:tcW w:w="1425" w:type="dxa"/>
            <w:tcBorders>
              <w:top w:val="nil"/>
              <w:left w:val="nil"/>
              <w:bottom w:val="single" w:sz="8" w:space="0" w:color="FFFFFF"/>
              <w:right w:val="single" w:sz="8" w:space="0" w:color="FFFFFF"/>
            </w:tcBorders>
            <w:shd w:val="clear" w:color="auto" w:fill="E7EEEF"/>
            <w:vAlign w:val="center"/>
            <w:hideMark/>
          </w:tcPr>
          <w:p w14:paraId="4D9A9D5E"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1,016</w:t>
            </w:r>
          </w:p>
        </w:tc>
      </w:tr>
      <w:tr w:rsidR="00897D79" w:rsidRPr="0064670D" w14:paraId="1879BCE1"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2C36A2E7"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Shipping</w:t>
            </w:r>
          </w:p>
        </w:tc>
        <w:tc>
          <w:tcPr>
            <w:tcW w:w="1462" w:type="dxa"/>
            <w:tcBorders>
              <w:top w:val="nil"/>
              <w:left w:val="nil"/>
              <w:bottom w:val="single" w:sz="8" w:space="0" w:color="FFFFFF"/>
              <w:right w:val="single" w:sz="8" w:space="0" w:color="FFFFFF"/>
            </w:tcBorders>
            <w:shd w:val="clear" w:color="000000" w:fill="D0CECE"/>
            <w:vAlign w:val="center"/>
            <w:hideMark/>
          </w:tcPr>
          <w:p w14:paraId="4714306A"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248</w:t>
            </w:r>
          </w:p>
        </w:tc>
        <w:tc>
          <w:tcPr>
            <w:tcW w:w="1425" w:type="dxa"/>
            <w:tcBorders>
              <w:top w:val="nil"/>
              <w:left w:val="nil"/>
              <w:bottom w:val="single" w:sz="8" w:space="0" w:color="FFFFFF"/>
              <w:right w:val="single" w:sz="8" w:space="0" w:color="FFFFFF"/>
            </w:tcBorders>
            <w:shd w:val="clear" w:color="000000" w:fill="D0CECE"/>
            <w:vAlign w:val="center"/>
            <w:hideMark/>
          </w:tcPr>
          <w:p w14:paraId="6C922AB2"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188</w:t>
            </w:r>
          </w:p>
        </w:tc>
        <w:tc>
          <w:tcPr>
            <w:tcW w:w="1425" w:type="dxa"/>
            <w:tcBorders>
              <w:top w:val="nil"/>
              <w:left w:val="nil"/>
              <w:bottom w:val="single" w:sz="8" w:space="0" w:color="FFFFFF"/>
              <w:right w:val="single" w:sz="8" w:space="0" w:color="FFFFFF"/>
            </w:tcBorders>
            <w:shd w:val="clear" w:color="000000" w:fill="D0CECE"/>
            <w:vAlign w:val="center"/>
            <w:hideMark/>
          </w:tcPr>
          <w:p w14:paraId="3E7CE6D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94</w:t>
            </w:r>
          </w:p>
        </w:tc>
        <w:tc>
          <w:tcPr>
            <w:tcW w:w="1425" w:type="dxa"/>
            <w:tcBorders>
              <w:top w:val="nil"/>
              <w:left w:val="nil"/>
              <w:bottom w:val="single" w:sz="8" w:space="0" w:color="FFFFFF"/>
              <w:right w:val="single" w:sz="8" w:space="0" w:color="FFFFFF"/>
            </w:tcBorders>
            <w:shd w:val="clear" w:color="auto" w:fill="D0CECE"/>
            <w:vAlign w:val="center"/>
            <w:hideMark/>
          </w:tcPr>
          <w:p w14:paraId="58B0FA28"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530</w:t>
            </w:r>
          </w:p>
        </w:tc>
      </w:tr>
      <w:tr w:rsidR="00897D79" w:rsidRPr="0064670D" w14:paraId="6288016A"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114FD03E"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Ports</w:t>
            </w:r>
          </w:p>
        </w:tc>
        <w:tc>
          <w:tcPr>
            <w:tcW w:w="1462" w:type="dxa"/>
            <w:tcBorders>
              <w:top w:val="nil"/>
              <w:left w:val="nil"/>
              <w:bottom w:val="single" w:sz="8" w:space="0" w:color="FFFFFF"/>
              <w:right w:val="single" w:sz="8" w:space="0" w:color="FFFFFF"/>
            </w:tcBorders>
            <w:shd w:val="clear" w:color="000000" w:fill="E7EEEF"/>
            <w:vAlign w:val="center"/>
            <w:hideMark/>
          </w:tcPr>
          <w:p w14:paraId="3DF49F75"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70</w:t>
            </w:r>
          </w:p>
        </w:tc>
        <w:tc>
          <w:tcPr>
            <w:tcW w:w="1425" w:type="dxa"/>
            <w:tcBorders>
              <w:top w:val="nil"/>
              <w:left w:val="nil"/>
              <w:bottom w:val="single" w:sz="8" w:space="0" w:color="FFFFFF"/>
              <w:right w:val="single" w:sz="8" w:space="0" w:color="FFFFFF"/>
            </w:tcBorders>
            <w:shd w:val="clear" w:color="000000" w:fill="E7EEEF"/>
            <w:vAlign w:val="center"/>
            <w:hideMark/>
          </w:tcPr>
          <w:p w14:paraId="6C96298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62</w:t>
            </w:r>
          </w:p>
        </w:tc>
        <w:tc>
          <w:tcPr>
            <w:tcW w:w="1425" w:type="dxa"/>
            <w:tcBorders>
              <w:top w:val="nil"/>
              <w:left w:val="nil"/>
              <w:bottom w:val="single" w:sz="8" w:space="0" w:color="FFFFFF"/>
              <w:right w:val="single" w:sz="8" w:space="0" w:color="FFFFFF"/>
            </w:tcBorders>
            <w:shd w:val="clear" w:color="000000" w:fill="E7EEEF"/>
            <w:vAlign w:val="center"/>
            <w:hideMark/>
          </w:tcPr>
          <w:p w14:paraId="57C46B66"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31</w:t>
            </w:r>
          </w:p>
        </w:tc>
        <w:tc>
          <w:tcPr>
            <w:tcW w:w="1425" w:type="dxa"/>
            <w:tcBorders>
              <w:top w:val="nil"/>
              <w:left w:val="nil"/>
              <w:bottom w:val="single" w:sz="8" w:space="0" w:color="FFFFFF"/>
              <w:right w:val="single" w:sz="8" w:space="0" w:color="FFFFFF"/>
            </w:tcBorders>
            <w:shd w:val="clear" w:color="000000" w:fill="E7EEEF"/>
            <w:vAlign w:val="center"/>
            <w:hideMark/>
          </w:tcPr>
          <w:p w14:paraId="255900FF"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163</w:t>
            </w:r>
          </w:p>
        </w:tc>
      </w:tr>
      <w:tr w:rsidR="00897D79" w:rsidRPr="0064670D" w14:paraId="7C96E51C"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16AB23FD"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Leisure Marine</w:t>
            </w:r>
          </w:p>
        </w:tc>
        <w:tc>
          <w:tcPr>
            <w:tcW w:w="1462" w:type="dxa"/>
            <w:tcBorders>
              <w:top w:val="nil"/>
              <w:left w:val="nil"/>
              <w:bottom w:val="single" w:sz="8" w:space="0" w:color="FFFFFF"/>
              <w:right w:val="single" w:sz="8" w:space="0" w:color="FFFFFF"/>
            </w:tcBorders>
            <w:shd w:val="clear" w:color="000000" w:fill="D0CECE"/>
            <w:vAlign w:val="center"/>
            <w:hideMark/>
          </w:tcPr>
          <w:p w14:paraId="3E906AA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31</w:t>
            </w:r>
          </w:p>
        </w:tc>
        <w:tc>
          <w:tcPr>
            <w:tcW w:w="1425" w:type="dxa"/>
            <w:tcBorders>
              <w:top w:val="nil"/>
              <w:left w:val="nil"/>
              <w:bottom w:val="single" w:sz="8" w:space="0" w:color="FFFFFF"/>
              <w:right w:val="single" w:sz="8" w:space="0" w:color="FFFFFF"/>
            </w:tcBorders>
            <w:shd w:val="clear" w:color="000000" w:fill="D0CECE"/>
            <w:vAlign w:val="center"/>
            <w:hideMark/>
          </w:tcPr>
          <w:p w14:paraId="4557E53A"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20</w:t>
            </w:r>
          </w:p>
        </w:tc>
        <w:tc>
          <w:tcPr>
            <w:tcW w:w="1425" w:type="dxa"/>
            <w:tcBorders>
              <w:top w:val="nil"/>
              <w:left w:val="nil"/>
              <w:bottom w:val="single" w:sz="8" w:space="0" w:color="FFFFFF"/>
              <w:right w:val="single" w:sz="8" w:space="0" w:color="FFFFFF"/>
            </w:tcBorders>
            <w:shd w:val="clear" w:color="000000" w:fill="D0CECE"/>
            <w:vAlign w:val="center"/>
            <w:hideMark/>
          </w:tcPr>
          <w:p w14:paraId="5801BF2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12</w:t>
            </w:r>
          </w:p>
        </w:tc>
        <w:tc>
          <w:tcPr>
            <w:tcW w:w="1425" w:type="dxa"/>
            <w:tcBorders>
              <w:top w:val="nil"/>
              <w:left w:val="nil"/>
              <w:bottom w:val="single" w:sz="8" w:space="0" w:color="FFFFFF"/>
              <w:right w:val="single" w:sz="8" w:space="0" w:color="FFFFFF"/>
            </w:tcBorders>
            <w:shd w:val="clear" w:color="000000" w:fill="D0CECE"/>
            <w:vAlign w:val="center"/>
            <w:hideMark/>
          </w:tcPr>
          <w:p w14:paraId="560E45C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63</w:t>
            </w:r>
          </w:p>
        </w:tc>
      </w:tr>
      <w:tr w:rsidR="00897D79" w:rsidRPr="0064670D" w14:paraId="66EAFAA2"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43E067DF"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Marine Engineering</w:t>
            </w:r>
          </w:p>
        </w:tc>
        <w:tc>
          <w:tcPr>
            <w:tcW w:w="1462" w:type="dxa"/>
            <w:tcBorders>
              <w:top w:val="nil"/>
              <w:left w:val="nil"/>
              <w:bottom w:val="single" w:sz="8" w:space="0" w:color="FFFFFF"/>
              <w:right w:val="single" w:sz="8" w:space="0" w:color="FFFFFF"/>
            </w:tcBorders>
            <w:shd w:val="clear" w:color="000000" w:fill="E7EEEF"/>
            <w:vAlign w:val="center"/>
            <w:hideMark/>
          </w:tcPr>
          <w:p w14:paraId="12FDA3DE"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133</w:t>
            </w:r>
          </w:p>
        </w:tc>
        <w:tc>
          <w:tcPr>
            <w:tcW w:w="1425" w:type="dxa"/>
            <w:tcBorders>
              <w:top w:val="nil"/>
              <w:left w:val="nil"/>
              <w:bottom w:val="single" w:sz="8" w:space="0" w:color="FFFFFF"/>
              <w:right w:val="single" w:sz="8" w:space="0" w:color="FFFFFF"/>
            </w:tcBorders>
            <w:shd w:val="clear" w:color="000000" w:fill="E7EEEF"/>
            <w:vAlign w:val="center"/>
            <w:hideMark/>
          </w:tcPr>
          <w:p w14:paraId="27842490"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62</w:t>
            </w:r>
          </w:p>
        </w:tc>
        <w:tc>
          <w:tcPr>
            <w:tcW w:w="1425" w:type="dxa"/>
            <w:tcBorders>
              <w:top w:val="nil"/>
              <w:left w:val="nil"/>
              <w:bottom w:val="single" w:sz="8" w:space="0" w:color="FFFFFF"/>
              <w:right w:val="single" w:sz="8" w:space="0" w:color="FFFFFF"/>
            </w:tcBorders>
            <w:shd w:val="clear" w:color="000000" w:fill="E7EEEF"/>
            <w:vAlign w:val="center"/>
            <w:hideMark/>
          </w:tcPr>
          <w:p w14:paraId="137B628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45</w:t>
            </w:r>
          </w:p>
        </w:tc>
        <w:tc>
          <w:tcPr>
            <w:tcW w:w="1425" w:type="dxa"/>
            <w:tcBorders>
              <w:top w:val="nil"/>
              <w:left w:val="nil"/>
              <w:bottom w:val="single" w:sz="8" w:space="0" w:color="FFFFFF"/>
              <w:right w:val="single" w:sz="8" w:space="0" w:color="FFFFFF"/>
            </w:tcBorders>
            <w:shd w:val="clear" w:color="000000" w:fill="E7EEEF"/>
            <w:vAlign w:val="center"/>
            <w:hideMark/>
          </w:tcPr>
          <w:p w14:paraId="7F7FDA69"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240</w:t>
            </w:r>
          </w:p>
        </w:tc>
      </w:tr>
      <w:tr w:rsidR="00897D79" w:rsidRPr="0064670D" w14:paraId="7C5AFB2C" w14:textId="77777777" w:rsidTr="00610DA5">
        <w:trPr>
          <w:trHeight w:val="361"/>
        </w:trPr>
        <w:tc>
          <w:tcPr>
            <w:tcW w:w="3772" w:type="dxa"/>
            <w:tcBorders>
              <w:top w:val="nil"/>
              <w:left w:val="single" w:sz="8" w:space="0" w:color="FFFFFF"/>
              <w:bottom w:val="single" w:sz="8" w:space="0" w:color="FFFFFF"/>
              <w:right w:val="single" w:sz="8" w:space="0" w:color="FFFFFF"/>
            </w:tcBorders>
            <w:shd w:val="clear" w:color="000000" w:fill="008C9B"/>
            <w:vAlign w:val="center"/>
            <w:hideMark/>
          </w:tcPr>
          <w:p w14:paraId="5F9E08DE" w14:textId="77777777" w:rsidR="00897D79" w:rsidRPr="0064670D" w:rsidRDefault="00897D79" w:rsidP="00916197">
            <w:pPr>
              <w:spacing w:after="0"/>
              <w:rPr>
                <w:rFonts w:ascii="Calibri" w:eastAsia="Times New Roman" w:hAnsi="Calibri"/>
                <w:color w:val="FFFFFF"/>
                <w:sz w:val="20"/>
                <w:lang w:eastAsia="en-GB"/>
              </w:rPr>
            </w:pPr>
            <w:r w:rsidRPr="0064670D">
              <w:rPr>
                <w:rFonts w:ascii="Calibri" w:eastAsia="Times New Roman" w:hAnsi="Calibri"/>
                <w:color w:val="FFFFFF"/>
                <w:sz w:val="20"/>
                <w:lang w:eastAsia="en-GB"/>
              </w:rPr>
              <w:t>Maritime Business Services</w:t>
            </w:r>
          </w:p>
        </w:tc>
        <w:tc>
          <w:tcPr>
            <w:tcW w:w="1462" w:type="dxa"/>
            <w:tcBorders>
              <w:top w:val="nil"/>
              <w:left w:val="nil"/>
              <w:bottom w:val="single" w:sz="8" w:space="0" w:color="FFFFFF"/>
              <w:right w:val="single" w:sz="8" w:space="0" w:color="FFFFFF"/>
            </w:tcBorders>
            <w:shd w:val="clear" w:color="000000" w:fill="D0CECE"/>
            <w:vAlign w:val="center"/>
            <w:hideMark/>
          </w:tcPr>
          <w:p w14:paraId="4CC71BB1"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10</w:t>
            </w:r>
          </w:p>
        </w:tc>
        <w:tc>
          <w:tcPr>
            <w:tcW w:w="1425" w:type="dxa"/>
            <w:tcBorders>
              <w:top w:val="nil"/>
              <w:left w:val="nil"/>
              <w:bottom w:val="single" w:sz="8" w:space="0" w:color="FFFFFF"/>
              <w:right w:val="single" w:sz="8" w:space="0" w:color="FFFFFF"/>
            </w:tcBorders>
            <w:shd w:val="clear" w:color="000000" w:fill="D0CECE"/>
            <w:vAlign w:val="center"/>
            <w:hideMark/>
          </w:tcPr>
          <w:p w14:paraId="0D7E367C"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6</w:t>
            </w:r>
          </w:p>
        </w:tc>
        <w:tc>
          <w:tcPr>
            <w:tcW w:w="1425" w:type="dxa"/>
            <w:tcBorders>
              <w:top w:val="nil"/>
              <w:left w:val="nil"/>
              <w:bottom w:val="single" w:sz="8" w:space="0" w:color="FFFFFF"/>
              <w:right w:val="single" w:sz="8" w:space="0" w:color="FFFFFF"/>
            </w:tcBorders>
            <w:shd w:val="clear" w:color="000000" w:fill="D0CECE"/>
            <w:vAlign w:val="center"/>
            <w:hideMark/>
          </w:tcPr>
          <w:p w14:paraId="3DFCFD14"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4</w:t>
            </w:r>
          </w:p>
        </w:tc>
        <w:tc>
          <w:tcPr>
            <w:tcW w:w="1425" w:type="dxa"/>
            <w:tcBorders>
              <w:top w:val="nil"/>
              <w:left w:val="nil"/>
              <w:bottom w:val="single" w:sz="8" w:space="0" w:color="FFFFFF"/>
              <w:right w:val="single" w:sz="8" w:space="0" w:color="FFFFFF"/>
            </w:tcBorders>
            <w:shd w:val="clear" w:color="000000" w:fill="D0CECE"/>
            <w:vAlign w:val="center"/>
            <w:hideMark/>
          </w:tcPr>
          <w:p w14:paraId="2D85AD6D" w14:textId="77777777" w:rsidR="00897D79" w:rsidRPr="0064670D" w:rsidRDefault="00897D79" w:rsidP="00916197">
            <w:pPr>
              <w:spacing w:after="0"/>
              <w:jc w:val="center"/>
              <w:rPr>
                <w:rFonts w:ascii="Calibri" w:eastAsia="Times New Roman" w:hAnsi="Calibri"/>
                <w:color w:val="000000"/>
                <w:sz w:val="20"/>
                <w:lang w:eastAsia="en-GB"/>
              </w:rPr>
            </w:pPr>
            <w:r w:rsidRPr="0064670D">
              <w:rPr>
                <w:rFonts w:ascii="Calibri" w:eastAsia="Times New Roman" w:hAnsi="Calibri"/>
                <w:color w:val="000000"/>
                <w:sz w:val="20"/>
                <w:lang w:eastAsia="en-GB"/>
              </w:rPr>
              <w:t>21</w:t>
            </w:r>
          </w:p>
        </w:tc>
      </w:tr>
    </w:tbl>
    <w:p w14:paraId="4962B940" w14:textId="77777777" w:rsidR="00897D79" w:rsidRPr="00C81A27" w:rsidRDefault="00897D79" w:rsidP="00C81A27">
      <w:pPr>
        <w:spacing w:before="60" w:after="120"/>
        <w:jc w:val="right"/>
        <w:rPr>
          <w:rStyle w:val="SubtleEmphasis"/>
          <w:i w:val="0"/>
          <w:iCs w:val="0"/>
          <w:color w:val="auto"/>
          <w:sz w:val="18"/>
        </w:rPr>
      </w:pPr>
      <w:r w:rsidRPr="00C81A27">
        <w:rPr>
          <w:rStyle w:val="SubtleEmphasis"/>
          <w:color w:val="auto"/>
          <w:sz w:val="18"/>
        </w:rPr>
        <w:t>Source: ONS, FAME, Cebr analysis</w:t>
      </w:r>
    </w:p>
    <w:p w14:paraId="6B69A63D" w14:textId="176D7183" w:rsidR="00897D79" w:rsidRPr="0094526E" w:rsidRDefault="00897D79" w:rsidP="00897D79">
      <w:pPr>
        <w:spacing w:before="60" w:after="120"/>
        <w:rPr>
          <w:szCs w:val="22"/>
        </w:rPr>
      </w:pPr>
      <w:r>
        <w:rPr>
          <w:rStyle w:val="SubtleEmphasis"/>
          <w:i w:val="0"/>
          <w:iCs w:val="0"/>
          <w:szCs w:val="22"/>
        </w:rPr>
        <w:fldChar w:fldCharType="begin"/>
      </w:r>
      <w:r>
        <w:rPr>
          <w:rStyle w:val="SubtleEmphasis"/>
          <w:i w:val="0"/>
          <w:iCs w:val="0"/>
          <w:szCs w:val="22"/>
        </w:rPr>
        <w:instrText xml:space="preserve"> REF _Ref490055371 \h </w:instrText>
      </w:r>
      <w:r>
        <w:rPr>
          <w:rStyle w:val="SubtleEmphasis"/>
          <w:i w:val="0"/>
          <w:iCs w:val="0"/>
          <w:szCs w:val="22"/>
        </w:rPr>
      </w:r>
      <w:r>
        <w:rPr>
          <w:rStyle w:val="SubtleEmphasis"/>
          <w:i w:val="0"/>
          <w:iCs w:val="0"/>
          <w:szCs w:val="22"/>
        </w:rPr>
        <w:fldChar w:fldCharType="separate"/>
      </w:r>
      <w:r w:rsidR="00963862">
        <w:t xml:space="preserve">Table </w:t>
      </w:r>
      <w:r w:rsidR="00963862">
        <w:rPr>
          <w:noProof/>
        </w:rPr>
        <w:t>11</w:t>
      </w:r>
      <w:r>
        <w:rPr>
          <w:rStyle w:val="SubtleEmphasis"/>
          <w:i w:val="0"/>
          <w:iCs w:val="0"/>
          <w:szCs w:val="22"/>
        </w:rPr>
        <w:fldChar w:fldCharType="end"/>
      </w:r>
      <w:r>
        <w:rPr>
          <w:rStyle w:val="SubtleEmphasis"/>
          <w:i w:val="0"/>
          <w:iCs w:val="0"/>
          <w:szCs w:val="22"/>
        </w:rPr>
        <w:t xml:space="preserve"> </w:t>
      </w:r>
      <w:r>
        <w:rPr>
          <w:rStyle w:val="SubtleEmphasis"/>
          <w:i w:val="0"/>
          <w:iCs w:val="0"/>
          <w:color w:val="auto"/>
          <w:szCs w:val="22"/>
        </w:rPr>
        <w:t xml:space="preserve">below shows the estimated direct and total domestic output impacts of the </w:t>
      </w:r>
      <w:r w:rsidR="00654BBE">
        <w:rPr>
          <w:rStyle w:val="SubtleEmphasis"/>
          <w:i w:val="0"/>
          <w:iCs w:val="0"/>
          <w:color w:val="auto"/>
          <w:szCs w:val="22"/>
        </w:rPr>
        <w:t>Maritime Sector</w:t>
      </w:r>
      <w:r>
        <w:rPr>
          <w:rStyle w:val="SubtleEmphasis"/>
          <w:i w:val="0"/>
          <w:iCs w:val="0"/>
          <w:color w:val="auto"/>
          <w:szCs w:val="22"/>
        </w:rPr>
        <w:t xml:space="preserve"> in Wales across the years 2010 to 2017. The total impact on turnover was significantly smaller in 2017 compared to previous years. The aggregate impact peaked in 2011 at £2.75 billion but has steadily declined since then reaching its lowest value in 2017. In contrast, the composite turnover multipliers are relatively stable across each year. </w:t>
      </w:r>
    </w:p>
    <w:p w14:paraId="4F1B51C5" w14:textId="52852598" w:rsidR="00897D79" w:rsidRDefault="00897D79" w:rsidP="00897D79">
      <w:pPr>
        <w:pStyle w:val="Caption"/>
        <w:keepNext/>
      </w:pPr>
      <w:bookmarkStart w:id="68" w:name="_Ref490055371"/>
      <w:r>
        <w:t xml:space="preserve">Table </w:t>
      </w:r>
      <w:r>
        <w:rPr>
          <w:noProof/>
        </w:rPr>
        <w:fldChar w:fldCharType="begin"/>
      </w:r>
      <w:r>
        <w:rPr>
          <w:noProof/>
        </w:rPr>
        <w:instrText xml:space="preserve"> SEQ Table \* ARABIC </w:instrText>
      </w:r>
      <w:r>
        <w:rPr>
          <w:noProof/>
        </w:rPr>
        <w:fldChar w:fldCharType="separate"/>
      </w:r>
      <w:r w:rsidR="00963862">
        <w:rPr>
          <w:noProof/>
        </w:rPr>
        <w:t>11</w:t>
      </w:r>
      <w:r>
        <w:rPr>
          <w:noProof/>
        </w:rPr>
        <w:fldChar w:fldCharType="end"/>
      </w:r>
      <w:bookmarkEnd w:id="68"/>
      <w:r>
        <w:t xml:space="preserve">: </w:t>
      </w:r>
      <w:r w:rsidR="00610DA5">
        <w:t>Direct and aggregate</w:t>
      </w:r>
      <w:r w:rsidRPr="008B067A">
        <w:t xml:space="preserve"> domestic</w:t>
      </w:r>
      <w:r w:rsidR="000032D9">
        <w:t xml:space="preserve"> output impact of the </w:t>
      </w:r>
      <w:r w:rsidR="00654BBE">
        <w:t>Maritime Sector</w:t>
      </w:r>
      <w:r w:rsidRPr="008B067A">
        <w:t xml:space="preserve"> in </w:t>
      </w:r>
      <w:r>
        <w:t>Wales, 2010 to 2017</w:t>
      </w:r>
      <w:r w:rsidRPr="008B067A">
        <w:t>, £ million</w:t>
      </w:r>
    </w:p>
    <w:tbl>
      <w:tblPr>
        <w:tblW w:w="9179" w:type="dxa"/>
        <w:tblLook w:val="04A0" w:firstRow="1" w:lastRow="0" w:firstColumn="1" w:lastColumn="0" w:noHBand="0" w:noVBand="1"/>
      </w:tblPr>
      <w:tblGrid>
        <w:gridCol w:w="841"/>
        <w:gridCol w:w="2544"/>
        <w:gridCol w:w="3055"/>
        <w:gridCol w:w="2739"/>
      </w:tblGrid>
      <w:tr w:rsidR="00897D79" w:rsidRPr="00CF34F9" w14:paraId="143650AD" w14:textId="77777777" w:rsidTr="00916197">
        <w:trPr>
          <w:trHeight w:val="470"/>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661CC3B6"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Year</w:t>
            </w:r>
          </w:p>
        </w:tc>
        <w:tc>
          <w:tcPr>
            <w:tcW w:w="2544" w:type="dxa"/>
            <w:tcBorders>
              <w:top w:val="single" w:sz="8" w:space="0" w:color="FFFFFF"/>
              <w:left w:val="nil"/>
              <w:bottom w:val="single" w:sz="12" w:space="0" w:color="FFFFFF"/>
              <w:right w:val="single" w:sz="8" w:space="0" w:color="FFFFFF"/>
            </w:tcBorders>
            <w:shd w:val="clear" w:color="000000" w:fill="008C9B"/>
            <w:vAlign w:val="center"/>
            <w:hideMark/>
          </w:tcPr>
          <w:p w14:paraId="788D1274" w14:textId="24109A6C"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3055" w:type="dxa"/>
            <w:tcBorders>
              <w:top w:val="single" w:sz="8" w:space="0" w:color="FFFFFF"/>
              <w:left w:val="nil"/>
              <w:bottom w:val="single" w:sz="12" w:space="0" w:color="FFFFFF"/>
              <w:right w:val="single" w:sz="8" w:space="0" w:color="FFFFFF"/>
            </w:tcBorders>
            <w:shd w:val="clear" w:color="000000" w:fill="008C9B"/>
            <w:vAlign w:val="center"/>
            <w:hideMark/>
          </w:tcPr>
          <w:p w14:paraId="5709D736" w14:textId="77777777"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Composite domestic output multiplier</w:t>
            </w:r>
          </w:p>
        </w:tc>
        <w:tc>
          <w:tcPr>
            <w:tcW w:w="2739" w:type="dxa"/>
            <w:tcBorders>
              <w:top w:val="single" w:sz="8" w:space="0" w:color="FFFFFF"/>
              <w:left w:val="nil"/>
              <w:bottom w:val="single" w:sz="12" w:space="0" w:color="FFFFFF"/>
              <w:right w:val="single" w:sz="8" w:space="0" w:color="FFFFFF"/>
            </w:tcBorders>
            <w:shd w:val="clear" w:color="000000" w:fill="008C9B"/>
            <w:vAlign w:val="center"/>
            <w:hideMark/>
          </w:tcPr>
          <w:p w14:paraId="2F922230" w14:textId="2C00F0CF" w:rsidR="00897D79" w:rsidRPr="00CF34F9" w:rsidRDefault="00897D79" w:rsidP="00916197">
            <w:pPr>
              <w:spacing w:after="0"/>
              <w:jc w:val="center"/>
              <w:rPr>
                <w:rFonts w:ascii="Calibri" w:eastAsia="Times New Roman" w:hAnsi="Calibri"/>
                <w:b/>
                <w:bCs/>
                <w:color w:val="FFFFFF"/>
                <w:sz w:val="20"/>
                <w:lang w:eastAsia="en-GB"/>
              </w:rPr>
            </w:pPr>
            <w:r w:rsidRPr="00CF34F9">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CF34F9" w14:paraId="20F274D7" w14:textId="77777777" w:rsidTr="00916197">
        <w:trPr>
          <w:trHeight w:val="295"/>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2C1AA09"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2010</w:t>
            </w:r>
          </w:p>
        </w:tc>
        <w:tc>
          <w:tcPr>
            <w:tcW w:w="2544" w:type="dxa"/>
            <w:tcBorders>
              <w:top w:val="nil"/>
              <w:left w:val="nil"/>
              <w:bottom w:val="single" w:sz="8" w:space="0" w:color="FFFFFF"/>
              <w:right w:val="single" w:sz="8" w:space="0" w:color="FFFFFF"/>
            </w:tcBorders>
            <w:shd w:val="clear" w:color="000000" w:fill="E7EEEF"/>
            <w:vAlign w:val="center"/>
            <w:hideMark/>
          </w:tcPr>
          <w:p w14:paraId="5AA4BCB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886</w:t>
            </w:r>
          </w:p>
        </w:tc>
        <w:tc>
          <w:tcPr>
            <w:tcW w:w="3055" w:type="dxa"/>
            <w:tcBorders>
              <w:top w:val="nil"/>
              <w:left w:val="nil"/>
              <w:bottom w:val="single" w:sz="8" w:space="0" w:color="FFFFFF"/>
              <w:right w:val="single" w:sz="8" w:space="0" w:color="FFFFFF"/>
            </w:tcBorders>
            <w:shd w:val="clear" w:color="000000" w:fill="E7EEEF"/>
            <w:vAlign w:val="center"/>
            <w:hideMark/>
          </w:tcPr>
          <w:p w14:paraId="7CE7863A"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2.10</w:t>
            </w:r>
          </w:p>
        </w:tc>
        <w:tc>
          <w:tcPr>
            <w:tcW w:w="2739" w:type="dxa"/>
            <w:tcBorders>
              <w:top w:val="nil"/>
              <w:left w:val="nil"/>
              <w:bottom w:val="single" w:sz="8" w:space="0" w:color="FFFFFF"/>
              <w:right w:val="single" w:sz="8" w:space="0" w:color="FFFFFF"/>
            </w:tcBorders>
            <w:shd w:val="clear" w:color="000000" w:fill="E7EEEF"/>
            <w:vAlign w:val="center"/>
            <w:hideMark/>
          </w:tcPr>
          <w:p w14:paraId="59154B31"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1,864</w:t>
            </w:r>
          </w:p>
        </w:tc>
      </w:tr>
      <w:tr w:rsidR="00897D79" w:rsidRPr="00CF34F9" w14:paraId="725D4F97"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10790E03"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2011</w:t>
            </w:r>
          </w:p>
        </w:tc>
        <w:tc>
          <w:tcPr>
            <w:tcW w:w="2544" w:type="dxa"/>
            <w:tcBorders>
              <w:top w:val="nil"/>
              <w:left w:val="nil"/>
              <w:bottom w:val="single" w:sz="8" w:space="0" w:color="FFFFFF"/>
              <w:right w:val="single" w:sz="8" w:space="0" w:color="FFFFFF"/>
            </w:tcBorders>
            <w:shd w:val="clear" w:color="000000" w:fill="D0CECE"/>
            <w:vAlign w:val="center"/>
            <w:hideMark/>
          </w:tcPr>
          <w:p w14:paraId="0F1B3B85"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1,306</w:t>
            </w:r>
          </w:p>
        </w:tc>
        <w:tc>
          <w:tcPr>
            <w:tcW w:w="3055" w:type="dxa"/>
            <w:tcBorders>
              <w:top w:val="nil"/>
              <w:left w:val="nil"/>
              <w:bottom w:val="single" w:sz="8" w:space="0" w:color="FFFFFF"/>
              <w:right w:val="single" w:sz="8" w:space="0" w:color="FFFFFF"/>
            </w:tcBorders>
            <w:shd w:val="clear" w:color="000000" w:fill="D0CECE"/>
            <w:vAlign w:val="center"/>
            <w:hideMark/>
          </w:tcPr>
          <w:p w14:paraId="22C71A29"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D0CECE"/>
            <w:vAlign w:val="center"/>
            <w:hideMark/>
          </w:tcPr>
          <w:p w14:paraId="4B435D4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2,752</w:t>
            </w:r>
          </w:p>
        </w:tc>
      </w:tr>
      <w:tr w:rsidR="00897D79" w:rsidRPr="00CF34F9" w14:paraId="369EBEDD"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0C350EA"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2012</w:t>
            </w:r>
          </w:p>
        </w:tc>
        <w:tc>
          <w:tcPr>
            <w:tcW w:w="2544" w:type="dxa"/>
            <w:tcBorders>
              <w:top w:val="nil"/>
              <w:left w:val="nil"/>
              <w:bottom w:val="single" w:sz="8" w:space="0" w:color="FFFFFF"/>
              <w:right w:val="single" w:sz="8" w:space="0" w:color="FFFFFF"/>
            </w:tcBorders>
            <w:shd w:val="clear" w:color="000000" w:fill="E7EEEF"/>
            <w:vAlign w:val="center"/>
            <w:hideMark/>
          </w:tcPr>
          <w:p w14:paraId="6003DAA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1,304</w:t>
            </w:r>
          </w:p>
        </w:tc>
        <w:tc>
          <w:tcPr>
            <w:tcW w:w="3055" w:type="dxa"/>
            <w:tcBorders>
              <w:top w:val="nil"/>
              <w:left w:val="nil"/>
              <w:bottom w:val="single" w:sz="8" w:space="0" w:color="FFFFFF"/>
              <w:right w:val="single" w:sz="8" w:space="0" w:color="FFFFFF"/>
            </w:tcBorders>
            <w:shd w:val="clear" w:color="000000" w:fill="E7EEEF"/>
            <w:vAlign w:val="center"/>
            <w:hideMark/>
          </w:tcPr>
          <w:p w14:paraId="0EE7201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E7EEEF"/>
            <w:vAlign w:val="center"/>
            <w:hideMark/>
          </w:tcPr>
          <w:p w14:paraId="53C7E4B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2,750</w:t>
            </w:r>
          </w:p>
        </w:tc>
      </w:tr>
      <w:tr w:rsidR="00897D79" w:rsidRPr="00CF34F9" w14:paraId="4F72F1C2"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30CF177"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2013</w:t>
            </w:r>
          </w:p>
        </w:tc>
        <w:tc>
          <w:tcPr>
            <w:tcW w:w="2544" w:type="dxa"/>
            <w:tcBorders>
              <w:top w:val="nil"/>
              <w:left w:val="nil"/>
              <w:bottom w:val="single" w:sz="8" w:space="0" w:color="FFFFFF"/>
              <w:right w:val="single" w:sz="8" w:space="0" w:color="FFFFFF"/>
            </w:tcBorders>
            <w:shd w:val="clear" w:color="000000" w:fill="D0CECE"/>
            <w:vAlign w:val="center"/>
            <w:hideMark/>
          </w:tcPr>
          <w:p w14:paraId="22981928"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858</w:t>
            </w:r>
          </w:p>
        </w:tc>
        <w:tc>
          <w:tcPr>
            <w:tcW w:w="3055" w:type="dxa"/>
            <w:tcBorders>
              <w:top w:val="nil"/>
              <w:left w:val="nil"/>
              <w:bottom w:val="single" w:sz="8" w:space="0" w:color="FFFFFF"/>
              <w:right w:val="single" w:sz="8" w:space="0" w:color="FFFFFF"/>
            </w:tcBorders>
            <w:shd w:val="clear" w:color="000000" w:fill="D0CECE"/>
            <w:vAlign w:val="center"/>
            <w:hideMark/>
          </w:tcPr>
          <w:p w14:paraId="4009CC7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2.08</w:t>
            </w:r>
          </w:p>
        </w:tc>
        <w:tc>
          <w:tcPr>
            <w:tcW w:w="2739" w:type="dxa"/>
            <w:tcBorders>
              <w:top w:val="nil"/>
              <w:left w:val="nil"/>
              <w:bottom w:val="single" w:sz="8" w:space="0" w:color="FFFFFF"/>
              <w:right w:val="single" w:sz="8" w:space="0" w:color="FFFFFF"/>
            </w:tcBorders>
            <w:shd w:val="clear" w:color="000000" w:fill="D0CECE"/>
            <w:vAlign w:val="center"/>
            <w:hideMark/>
          </w:tcPr>
          <w:p w14:paraId="52F656F6"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1,789</w:t>
            </w:r>
          </w:p>
        </w:tc>
      </w:tr>
      <w:tr w:rsidR="00897D79" w:rsidRPr="00CF34F9" w14:paraId="7381DD5F"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07B189E1"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2014</w:t>
            </w:r>
          </w:p>
        </w:tc>
        <w:tc>
          <w:tcPr>
            <w:tcW w:w="2544" w:type="dxa"/>
            <w:tcBorders>
              <w:top w:val="nil"/>
              <w:left w:val="nil"/>
              <w:bottom w:val="single" w:sz="8" w:space="0" w:color="FFFFFF"/>
              <w:right w:val="single" w:sz="8" w:space="0" w:color="FFFFFF"/>
            </w:tcBorders>
            <w:shd w:val="clear" w:color="000000" w:fill="E7EEEF"/>
            <w:vAlign w:val="center"/>
            <w:hideMark/>
          </w:tcPr>
          <w:p w14:paraId="41032D84"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919</w:t>
            </w:r>
          </w:p>
        </w:tc>
        <w:tc>
          <w:tcPr>
            <w:tcW w:w="3055" w:type="dxa"/>
            <w:tcBorders>
              <w:top w:val="nil"/>
              <w:left w:val="nil"/>
              <w:bottom w:val="single" w:sz="8" w:space="0" w:color="FFFFFF"/>
              <w:right w:val="single" w:sz="8" w:space="0" w:color="FFFFFF"/>
            </w:tcBorders>
            <w:shd w:val="clear" w:color="000000" w:fill="E7EEEF"/>
            <w:vAlign w:val="center"/>
            <w:hideMark/>
          </w:tcPr>
          <w:p w14:paraId="31F6044F"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2.12</w:t>
            </w:r>
          </w:p>
        </w:tc>
        <w:tc>
          <w:tcPr>
            <w:tcW w:w="2739" w:type="dxa"/>
            <w:tcBorders>
              <w:top w:val="nil"/>
              <w:left w:val="nil"/>
              <w:bottom w:val="single" w:sz="8" w:space="0" w:color="FFFFFF"/>
              <w:right w:val="single" w:sz="8" w:space="0" w:color="FFFFFF"/>
            </w:tcBorders>
            <w:shd w:val="clear" w:color="000000" w:fill="E7EEEF"/>
            <w:vAlign w:val="center"/>
            <w:hideMark/>
          </w:tcPr>
          <w:p w14:paraId="46101EF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1,947</w:t>
            </w:r>
          </w:p>
        </w:tc>
      </w:tr>
      <w:tr w:rsidR="00897D79" w:rsidRPr="00CF34F9" w14:paraId="041B3E3E"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58168351"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2015</w:t>
            </w:r>
          </w:p>
        </w:tc>
        <w:tc>
          <w:tcPr>
            <w:tcW w:w="2544" w:type="dxa"/>
            <w:tcBorders>
              <w:top w:val="nil"/>
              <w:left w:val="nil"/>
              <w:bottom w:val="single" w:sz="8" w:space="0" w:color="FFFFFF"/>
              <w:right w:val="single" w:sz="8" w:space="0" w:color="FFFFFF"/>
            </w:tcBorders>
            <w:shd w:val="clear" w:color="000000" w:fill="D0CECE"/>
            <w:vAlign w:val="center"/>
            <w:hideMark/>
          </w:tcPr>
          <w:p w14:paraId="72B8935D"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1,092</w:t>
            </w:r>
          </w:p>
        </w:tc>
        <w:tc>
          <w:tcPr>
            <w:tcW w:w="3055" w:type="dxa"/>
            <w:tcBorders>
              <w:top w:val="nil"/>
              <w:left w:val="nil"/>
              <w:bottom w:val="single" w:sz="8" w:space="0" w:color="FFFFFF"/>
              <w:right w:val="single" w:sz="8" w:space="0" w:color="FFFFFF"/>
            </w:tcBorders>
            <w:shd w:val="clear" w:color="000000" w:fill="D0CECE"/>
            <w:vAlign w:val="center"/>
            <w:hideMark/>
          </w:tcPr>
          <w:p w14:paraId="2DFA47E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2.11</w:t>
            </w:r>
          </w:p>
        </w:tc>
        <w:tc>
          <w:tcPr>
            <w:tcW w:w="2739" w:type="dxa"/>
            <w:tcBorders>
              <w:top w:val="nil"/>
              <w:left w:val="nil"/>
              <w:bottom w:val="single" w:sz="8" w:space="0" w:color="FFFFFF"/>
              <w:right w:val="single" w:sz="8" w:space="0" w:color="FFFFFF"/>
            </w:tcBorders>
            <w:shd w:val="clear" w:color="000000" w:fill="D0CECE"/>
            <w:vAlign w:val="center"/>
            <w:hideMark/>
          </w:tcPr>
          <w:p w14:paraId="75A633B9"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2,304</w:t>
            </w:r>
          </w:p>
        </w:tc>
      </w:tr>
      <w:tr w:rsidR="00897D79" w:rsidRPr="00CF34F9" w14:paraId="77EDCCA9"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242F71B8"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2016</w:t>
            </w:r>
          </w:p>
        </w:tc>
        <w:tc>
          <w:tcPr>
            <w:tcW w:w="2544" w:type="dxa"/>
            <w:tcBorders>
              <w:top w:val="nil"/>
              <w:left w:val="nil"/>
              <w:bottom w:val="single" w:sz="8" w:space="0" w:color="FFFFFF"/>
              <w:right w:val="single" w:sz="8" w:space="0" w:color="FFFFFF"/>
            </w:tcBorders>
            <w:shd w:val="clear" w:color="000000" w:fill="E7EEEF"/>
            <w:vAlign w:val="center"/>
            <w:hideMark/>
          </w:tcPr>
          <w:p w14:paraId="4B2A653A"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863</w:t>
            </w:r>
          </w:p>
        </w:tc>
        <w:tc>
          <w:tcPr>
            <w:tcW w:w="3055" w:type="dxa"/>
            <w:tcBorders>
              <w:top w:val="nil"/>
              <w:left w:val="nil"/>
              <w:bottom w:val="single" w:sz="8" w:space="0" w:color="FFFFFF"/>
              <w:right w:val="single" w:sz="8" w:space="0" w:color="FFFFFF"/>
            </w:tcBorders>
            <w:shd w:val="clear" w:color="000000" w:fill="E7EEEF"/>
            <w:vAlign w:val="center"/>
            <w:hideMark/>
          </w:tcPr>
          <w:p w14:paraId="347A438E"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2.08</w:t>
            </w:r>
          </w:p>
        </w:tc>
        <w:tc>
          <w:tcPr>
            <w:tcW w:w="2739" w:type="dxa"/>
            <w:tcBorders>
              <w:top w:val="nil"/>
              <w:left w:val="nil"/>
              <w:bottom w:val="single" w:sz="8" w:space="0" w:color="FFFFFF"/>
              <w:right w:val="single" w:sz="8" w:space="0" w:color="FFFFFF"/>
            </w:tcBorders>
            <w:shd w:val="clear" w:color="000000" w:fill="E7EEEF"/>
            <w:vAlign w:val="center"/>
            <w:hideMark/>
          </w:tcPr>
          <w:p w14:paraId="517E5E20"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1,796</w:t>
            </w:r>
          </w:p>
        </w:tc>
      </w:tr>
      <w:tr w:rsidR="00897D79" w:rsidRPr="00CF34F9" w14:paraId="0311EF20" w14:textId="77777777" w:rsidTr="00916197">
        <w:trPr>
          <w:trHeight w:val="282"/>
        </w:trPr>
        <w:tc>
          <w:tcPr>
            <w:tcW w:w="841" w:type="dxa"/>
            <w:tcBorders>
              <w:top w:val="nil"/>
              <w:left w:val="single" w:sz="8" w:space="0" w:color="FFFFFF"/>
              <w:bottom w:val="single" w:sz="8" w:space="0" w:color="FFFFFF"/>
              <w:right w:val="single" w:sz="8" w:space="0" w:color="FFFFFF"/>
            </w:tcBorders>
            <w:shd w:val="clear" w:color="000000" w:fill="008C9B"/>
            <w:vAlign w:val="center"/>
            <w:hideMark/>
          </w:tcPr>
          <w:p w14:paraId="78D163D4" w14:textId="77777777" w:rsidR="00897D79" w:rsidRPr="00CF34F9" w:rsidRDefault="00897D79" w:rsidP="00916197">
            <w:pPr>
              <w:spacing w:after="0"/>
              <w:rPr>
                <w:rFonts w:ascii="Calibri" w:eastAsia="Times New Roman" w:hAnsi="Calibri"/>
                <w:color w:val="FFFFFF"/>
                <w:sz w:val="20"/>
                <w:lang w:eastAsia="en-GB"/>
              </w:rPr>
            </w:pPr>
            <w:r w:rsidRPr="00CF34F9">
              <w:rPr>
                <w:rFonts w:ascii="Calibri" w:eastAsia="Times New Roman" w:hAnsi="Calibri"/>
                <w:color w:val="FFFFFF"/>
                <w:sz w:val="20"/>
                <w:lang w:eastAsia="en-GB"/>
              </w:rPr>
              <w:t>2017</w:t>
            </w:r>
          </w:p>
        </w:tc>
        <w:tc>
          <w:tcPr>
            <w:tcW w:w="2544" w:type="dxa"/>
            <w:tcBorders>
              <w:top w:val="nil"/>
              <w:left w:val="nil"/>
              <w:bottom w:val="single" w:sz="8" w:space="0" w:color="FFFFFF"/>
              <w:right w:val="single" w:sz="8" w:space="0" w:color="FFFFFF"/>
            </w:tcBorders>
            <w:shd w:val="clear" w:color="000000" w:fill="D0CECE"/>
            <w:vAlign w:val="center"/>
            <w:hideMark/>
          </w:tcPr>
          <w:p w14:paraId="13EFC6B6"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493</w:t>
            </w:r>
          </w:p>
        </w:tc>
        <w:tc>
          <w:tcPr>
            <w:tcW w:w="3055" w:type="dxa"/>
            <w:tcBorders>
              <w:top w:val="nil"/>
              <w:left w:val="nil"/>
              <w:bottom w:val="single" w:sz="8" w:space="0" w:color="FFFFFF"/>
              <w:right w:val="single" w:sz="8" w:space="0" w:color="FFFFFF"/>
            </w:tcBorders>
            <w:shd w:val="clear" w:color="000000" w:fill="D0CECE"/>
            <w:vAlign w:val="center"/>
            <w:hideMark/>
          </w:tcPr>
          <w:p w14:paraId="70A6EFFB"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2.06</w:t>
            </w:r>
          </w:p>
        </w:tc>
        <w:tc>
          <w:tcPr>
            <w:tcW w:w="2739" w:type="dxa"/>
            <w:tcBorders>
              <w:top w:val="nil"/>
              <w:left w:val="nil"/>
              <w:bottom w:val="single" w:sz="8" w:space="0" w:color="FFFFFF"/>
              <w:right w:val="single" w:sz="8" w:space="0" w:color="FFFFFF"/>
            </w:tcBorders>
            <w:shd w:val="clear" w:color="000000" w:fill="D0CECE"/>
            <w:vAlign w:val="center"/>
            <w:hideMark/>
          </w:tcPr>
          <w:p w14:paraId="4F517568" w14:textId="77777777" w:rsidR="00897D79" w:rsidRPr="00CF34F9" w:rsidRDefault="00897D79" w:rsidP="00916197">
            <w:pPr>
              <w:spacing w:after="0"/>
              <w:jc w:val="center"/>
              <w:rPr>
                <w:rFonts w:ascii="Calibri" w:eastAsia="Times New Roman" w:hAnsi="Calibri"/>
                <w:color w:val="000000"/>
                <w:sz w:val="20"/>
                <w:lang w:eastAsia="en-GB"/>
              </w:rPr>
            </w:pPr>
            <w:r w:rsidRPr="00CF34F9">
              <w:rPr>
                <w:rFonts w:ascii="Calibri" w:eastAsia="Times New Roman" w:hAnsi="Calibri"/>
                <w:color w:val="000000"/>
                <w:sz w:val="20"/>
                <w:lang w:eastAsia="en-GB"/>
              </w:rPr>
              <w:t>1,016</w:t>
            </w:r>
          </w:p>
        </w:tc>
      </w:tr>
    </w:tbl>
    <w:p w14:paraId="620F5805" w14:textId="77777777" w:rsidR="00897D79" w:rsidRPr="00C81A27" w:rsidRDefault="00897D79" w:rsidP="00897D79">
      <w:pPr>
        <w:spacing w:before="60" w:after="120"/>
        <w:jc w:val="right"/>
        <w:rPr>
          <w:rStyle w:val="SubtleEmphasis"/>
          <w:i w:val="0"/>
          <w:iCs w:val="0"/>
          <w:color w:val="auto"/>
          <w:szCs w:val="22"/>
        </w:rPr>
      </w:pPr>
      <w:r w:rsidRPr="00C81A27">
        <w:rPr>
          <w:rStyle w:val="SubtleEmphasis"/>
          <w:color w:val="auto"/>
          <w:sz w:val="18"/>
        </w:rPr>
        <w:t>Source: ONS, FAME, Cebr analysis</w:t>
      </w:r>
    </w:p>
    <w:p w14:paraId="77B5D905" w14:textId="79BDAF6C" w:rsidR="00F6233E" w:rsidRDefault="00897D79" w:rsidP="00897D79">
      <w:pPr>
        <w:pStyle w:val="Heading2"/>
        <w:ind w:left="0"/>
      </w:pPr>
      <w:bookmarkStart w:id="69" w:name="_Toc485302016"/>
      <w:bookmarkStart w:id="70" w:name="_Toc488396660"/>
      <w:bookmarkStart w:id="71" w:name="_Toc18076347"/>
      <w:r>
        <w:t>The wider economic impacts</w:t>
      </w:r>
      <w:bookmarkEnd w:id="69"/>
      <w:r>
        <w:t xml:space="preserve"> through GV</w:t>
      </w:r>
      <w:bookmarkEnd w:id="70"/>
      <w:r w:rsidR="00963862">
        <w:t>A</w:t>
      </w:r>
      <w:bookmarkEnd w:id="71"/>
    </w:p>
    <w:p w14:paraId="6E99F9A7" w14:textId="7CC376FE" w:rsidR="00897D79" w:rsidRDefault="00F6233E" w:rsidP="00897D79">
      <w:pPr>
        <w:spacing w:after="120"/>
      </w:pPr>
      <w:r>
        <w:t xml:space="preserve">This subsection sets out the aggregate economic impact of the </w:t>
      </w:r>
      <w:r w:rsidR="00654BBE">
        <w:t>Maritime Sector</w:t>
      </w:r>
      <w:r>
        <w:t xml:space="preserve"> in Wales through GVA. </w:t>
      </w:r>
      <w:r>
        <w:fldChar w:fldCharType="begin"/>
      </w:r>
      <w:r>
        <w:instrText xml:space="preserve"> REF _Ref16856097 \h </w:instrText>
      </w:r>
      <w:r>
        <w:fldChar w:fldCharType="separate"/>
      </w:r>
      <w:r w:rsidR="00963862">
        <w:t xml:space="preserve">Figure </w:t>
      </w:r>
      <w:r w:rsidR="00963862">
        <w:rPr>
          <w:noProof/>
        </w:rPr>
        <w:t>17</w:t>
      </w:r>
      <w:r>
        <w:fldChar w:fldCharType="end"/>
      </w:r>
      <w:r>
        <w:t xml:space="preserve"> </w:t>
      </w:r>
      <w:r w:rsidR="00897D79">
        <w:t xml:space="preserve">below illustrates the GVA multipliers for the </w:t>
      </w:r>
      <w:r w:rsidR="00654BBE">
        <w:t>Maritime Sector</w:t>
      </w:r>
      <w:r w:rsidR="00897D79">
        <w:t xml:space="preserve"> in Wales. The Welsh </w:t>
      </w:r>
      <w:r w:rsidR="00654BBE">
        <w:t>Maritime Sector</w:t>
      </w:r>
      <w:r w:rsidR="00897D79">
        <w:t xml:space="preserve"> directly contributed £250 million to GVA in 2017, where £230 million worth of GVA is stimulated in supply chains and £150 million worth of GVA in the wider economy when direct and indirect employees spend their earnings. Once the direct, indirect and induced economic channels are taken into consideration the Welsh </w:t>
      </w:r>
      <w:r w:rsidR="00654BBE">
        <w:t>Maritime Sector</w:t>
      </w:r>
      <w:r w:rsidR="00897D79">
        <w:t xml:space="preserve"> contributed £630 million to the wider UK economy. </w:t>
      </w:r>
    </w:p>
    <w:p w14:paraId="240B5E6E" w14:textId="5D262123" w:rsidR="00897D79" w:rsidRPr="003E1704" w:rsidRDefault="00897D79" w:rsidP="00897D79">
      <w:pPr>
        <w:spacing w:after="120"/>
        <w:rPr>
          <w:b/>
        </w:rPr>
      </w:pPr>
      <w:r>
        <w:rPr>
          <w:b/>
        </w:rPr>
        <w:t>For</w:t>
      </w:r>
      <w:r w:rsidRPr="00C65850">
        <w:rPr>
          <w:b/>
        </w:rPr>
        <w:t xml:space="preserve"> every £1 of </w:t>
      </w:r>
      <w:r w:rsidR="000032D9">
        <w:rPr>
          <w:b/>
        </w:rPr>
        <w:t>turnover initially</w:t>
      </w:r>
      <w:r w:rsidR="00B60125">
        <w:rPr>
          <w:b/>
        </w:rPr>
        <w:t xml:space="preserve"> contributed</w:t>
      </w:r>
      <w:r w:rsidRPr="00C65850">
        <w:rPr>
          <w:b/>
        </w:rPr>
        <w:t xml:space="preserve"> by the </w:t>
      </w:r>
      <w:r w:rsidR="00654BBE">
        <w:rPr>
          <w:b/>
        </w:rPr>
        <w:t>Maritime Sector</w:t>
      </w:r>
      <w:r>
        <w:rPr>
          <w:b/>
        </w:rPr>
        <w:t xml:space="preserve"> in Wales in 2017,</w:t>
      </w:r>
      <w:r w:rsidRPr="00C65850">
        <w:rPr>
          <w:b/>
        </w:rPr>
        <w:t xml:space="preserve"> the </w:t>
      </w:r>
      <w:r>
        <w:rPr>
          <w:b/>
        </w:rPr>
        <w:t>Welsh and UK economies</w:t>
      </w:r>
      <w:r w:rsidRPr="00C65850">
        <w:rPr>
          <w:b/>
        </w:rPr>
        <w:t xml:space="preserve"> as a whole </w:t>
      </w:r>
      <w:r>
        <w:rPr>
          <w:b/>
        </w:rPr>
        <w:t xml:space="preserve">experienced </w:t>
      </w:r>
      <w:r w:rsidRPr="00C65850">
        <w:rPr>
          <w:b/>
        </w:rPr>
        <w:t xml:space="preserve">an increase in </w:t>
      </w:r>
      <w:r>
        <w:rPr>
          <w:b/>
        </w:rPr>
        <w:t>GVA</w:t>
      </w:r>
      <w:r w:rsidRPr="00C65850">
        <w:rPr>
          <w:b/>
        </w:rPr>
        <w:t xml:space="preserve"> </w:t>
      </w:r>
      <w:r>
        <w:rPr>
          <w:b/>
        </w:rPr>
        <w:t>of £2.50</w:t>
      </w:r>
      <w:r w:rsidRPr="00C65850">
        <w:rPr>
          <w:b/>
        </w:rPr>
        <w:t>.</w:t>
      </w:r>
      <w:r w:rsidRPr="00C65850">
        <w:t xml:space="preserve"> </w:t>
      </w:r>
    </w:p>
    <w:p w14:paraId="63325596" w14:textId="77777777" w:rsidR="00897D79" w:rsidRDefault="00897D79" w:rsidP="00897D79"/>
    <w:p w14:paraId="1D0A3B1A" w14:textId="77777777" w:rsidR="00897D79" w:rsidRDefault="00897D79" w:rsidP="00897D79"/>
    <w:p w14:paraId="2C8A2598" w14:textId="77777777" w:rsidR="00897D79" w:rsidRDefault="00897D79" w:rsidP="00897D79"/>
    <w:p w14:paraId="4AD10731" w14:textId="77777777" w:rsidR="00897D79" w:rsidRDefault="00897D79" w:rsidP="00897D79">
      <w:pPr>
        <w:pStyle w:val="Caption"/>
        <w:keepNext/>
        <w:rPr>
          <w:i w:val="0"/>
          <w:iCs w:val="0"/>
          <w:color w:val="auto"/>
          <w:sz w:val="22"/>
          <w:szCs w:val="20"/>
        </w:rPr>
      </w:pPr>
      <w:bookmarkStart w:id="72" w:name="_Ref491175286"/>
    </w:p>
    <w:p w14:paraId="500DCDDF" w14:textId="0DD68B6A" w:rsidR="00897D79" w:rsidRDefault="00897D79" w:rsidP="00897D79">
      <w:pPr>
        <w:pStyle w:val="Caption"/>
        <w:keepNext/>
      </w:pPr>
      <w:bookmarkStart w:id="73" w:name="_Ref16856097"/>
      <w:r>
        <w:t xml:space="preserve">Figure </w:t>
      </w:r>
      <w:r>
        <w:rPr>
          <w:noProof/>
        </w:rPr>
        <w:fldChar w:fldCharType="begin"/>
      </w:r>
      <w:r>
        <w:rPr>
          <w:noProof/>
        </w:rPr>
        <w:instrText xml:space="preserve"> SEQ Figure \* ARABIC </w:instrText>
      </w:r>
      <w:r>
        <w:rPr>
          <w:noProof/>
        </w:rPr>
        <w:fldChar w:fldCharType="separate"/>
      </w:r>
      <w:r w:rsidR="00963862">
        <w:rPr>
          <w:noProof/>
        </w:rPr>
        <w:t>17</w:t>
      </w:r>
      <w:r>
        <w:rPr>
          <w:noProof/>
        </w:rPr>
        <w:fldChar w:fldCharType="end"/>
      </w:r>
      <w:bookmarkEnd w:id="72"/>
      <w:bookmarkEnd w:id="73"/>
      <w:r>
        <w:t xml:space="preserve">: </w:t>
      </w:r>
      <w:r w:rsidRPr="00A31C91">
        <w:t xml:space="preserve">GVA multiplier impacts of the </w:t>
      </w:r>
      <w:r w:rsidR="00654BBE">
        <w:t>Maritime Sector</w:t>
      </w:r>
      <w:r w:rsidRPr="00A31C91">
        <w:t xml:space="preserve"> in </w:t>
      </w:r>
      <w:r>
        <w:t>Wales</w:t>
      </w:r>
      <w:r w:rsidR="00CD65E7">
        <w:t xml:space="preserve">, </w:t>
      </w:r>
      <w:r>
        <w:t>2017</w:t>
      </w:r>
    </w:p>
    <w:p w14:paraId="3C9FD381" w14:textId="77777777" w:rsidR="00897D79" w:rsidRDefault="00897D79" w:rsidP="00897D79">
      <w:pPr>
        <w:rPr>
          <w:rFonts w:ascii="Calibri" w:eastAsia="Microsoft JhengHei" w:hAnsi="Calibri"/>
          <w:szCs w:val="22"/>
        </w:rPr>
      </w:pPr>
    </w:p>
    <w:p w14:paraId="5A81E07E" w14:textId="77777777" w:rsidR="00897D79" w:rsidRDefault="00897D79" w:rsidP="00897D79">
      <w:pPr>
        <w:rPr>
          <w:rFonts w:ascii="Calibri" w:eastAsia="Microsoft JhengHei" w:hAnsi="Calibri"/>
          <w:szCs w:val="22"/>
        </w:rPr>
      </w:pPr>
      <w:r w:rsidRPr="00682850">
        <w:rPr>
          <w:rFonts w:ascii="Calibri" w:eastAsia="Microsoft JhengHei" w:hAnsi="Calibri"/>
          <w:noProof/>
          <w:szCs w:val="22"/>
          <w:lang w:eastAsia="en-GB"/>
        </w:rPr>
        <mc:AlternateContent>
          <mc:Choice Requires="wpg">
            <w:drawing>
              <wp:anchor distT="0" distB="0" distL="114300" distR="114300" simplePos="0" relativeHeight="251666432" behindDoc="0" locked="0" layoutInCell="1" allowOverlap="1" wp14:anchorId="1493FF36" wp14:editId="0CB28300">
                <wp:simplePos x="0" y="0"/>
                <wp:positionH relativeFrom="column">
                  <wp:posOffset>109593</wp:posOffset>
                </wp:positionH>
                <wp:positionV relativeFrom="paragraph">
                  <wp:posOffset>-292842</wp:posOffset>
                </wp:positionV>
                <wp:extent cx="5760000" cy="2142000"/>
                <wp:effectExtent l="0" t="0" r="0" b="0"/>
                <wp:wrapNone/>
                <wp:docPr id="34"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35" name="Down Arrow 35"/>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6" name="Down Arrow 36"/>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37" name="Rectangle 37"/>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DF99BB" w14:textId="5E8E17F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£630m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8" name="Rounded Rectangle 38"/>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1A0527"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959501B" w14:textId="77777777" w:rsidR="001E63EE" w:rsidRDefault="001E63EE" w:rsidP="00897D79">
                              <w:pPr>
                                <w:pStyle w:val="NormalWeb"/>
                                <w:spacing w:before="0" w:beforeAutospacing="0" w:after="0" w:afterAutospacing="0"/>
                                <w:jc w:val="center"/>
                              </w:pPr>
                            </w:p>
                            <w:p w14:paraId="17446A49" w14:textId="0F960563"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£250m</w:t>
                              </w:r>
                            </w:p>
                          </w:txbxContent>
                        </wps:txbx>
                        <wps:bodyPr rtlCol="0" anchor="t" anchorCtr="0"/>
                      </wps:wsp>
                      <wps:wsp>
                        <wps:cNvPr id="39" name="Rounded Rectangle 39"/>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1116386" w14:textId="621BE7AF"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£230m</w:t>
                              </w:r>
                            </w:p>
                          </w:txbxContent>
                        </wps:txbx>
                        <wps:bodyPr rtlCol="0" anchor="t" anchorCtr="0"/>
                      </wps:wsp>
                      <wps:wsp>
                        <wps:cNvPr id="40" name="Rounded Rectangle 40"/>
                        <wps:cNvSpPr/>
                        <wps:spPr>
                          <a:xfrm>
                            <a:off x="4648616" y="466961"/>
                            <a:ext cx="1584176" cy="96026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5E37190" w14:textId="41968308"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£150m</w:t>
                              </w:r>
                            </w:p>
                          </w:txbxContent>
                        </wps:txbx>
                        <wps:bodyPr rtlCol="0" anchor="t" anchorCtr="0"/>
                      </wps:wsp>
                      <wps:wsp>
                        <wps:cNvPr id="41" name="Rectangle 41"/>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B3FC079"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493FF36" id="_x0000_s1034" style="position:absolute;margin-left:8.65pt;margin-top:-23.05pt;width:453.55pt;height:168.65pt;z-index:251666432"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">
                <v:shape id="Down Arrow 35" o:spid="_x0000_s1035"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mnnsEA&#10;AADbAAAADwAAAGRycy9kb3ducmV2LnhtbESPQWvCQBSE74X+h+UVvNVNK7Y1ugkqCL2qvfT2zD6T&#10;YN7bkF11/fduQehxmJlvmEUZuVMXGnzrxMDbOANFUjnbSm3gZ795/QLlA4rFzgkZuJGHsnh+WmBu&#10;3VW2dNmFWiWI+BwNNCH0uda+aojRj11PkryjGxhDkkOt7YDXBOdOv2fZh2ZsJS002NO6oeq0O7MB&#10;mTFHP3PU//rpquXbIa6Wn8aMXuJyDipQDP/hR/vbGphM4e9L+gG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iZp57BAAAA2wAAAA8AAAAAAAAAAAAAAAAAmAIAAGRycy9kb3du&#10;cmV2LnhtbFBLBQYAAAAABAAEAPUAAACGAwAAAAA=&#10;" adj="10800" fillcolor="#c4c4c6 [1302]" stroked="f" strokeweight="2pt"/>
                <v:shape id="Down Arrow 36" o:spid="_x0000_s1036"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s56cEA&#10;AADbAAAADwAAAGRycy9kb3ducmV2LnhtbESPQWvCQBSE70L/w/IK3symFW2NrqKC4LXaS2/P7DMJ&#10;5r0N2VXXf+8WCj0OM/MNs1hFbtWNet84MfCW5aBISmcbqQx8H3ejT1A+oFhsnZCBB3lYLV8GCyys&#10;u8sX3Q6hUgkivkADdQhdobUva2L0metIknd2PWNIsq+07fGe4Nzq9zyfasZG0kKNHW1rKi+HKxuQ&#10;GXP0M0fdj59sGn6c4mb9YczwNa7noALF8B/+a++tgfEUfr+kH6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hLOenBAAAA2wAAAA8AAAAAAAAAAAAAAAAAmAIAAGRycy9kb3du&#10;cmV2LnhtbFBLBQYAAAAABAAEAPUAAACGAwAAAAA=&#10;" adj="10800" fillcolor="#c4c4c6 [1302]" stroked="f" strokeweight="2pt"/>
                <v:rect id="Rectangle 37" o:spid="_x0000_s1037"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6uh8IA&#10;AADbAAAADwAAAGRycy9kb3ducmV2LnhtbESPzWrDMBCE74W+g9hAbo2cBjfBsRKModAe6yY5L9b6&#10;h0grYymx26evCoUeh5n5hsmPszXiTqPvHStYrxIQxLXTPbcKTp+vTzsQPiBrNI5JwRd5OB4eH3LM&#10;tJv4g+5VaEWEsM9QQRfCkEnp644s+pUbiKPXuNFiiHJspR5xinBr5HOSvEiLPceFDgcqO6qv1c0q&#10;SJne01B9m/JcFM0N63N58Uap5WIu9iACzeE//Nd+0wo2W/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i/q6HwgAAANsAAAAPAAAAAAAAAAAAAAAAAJgCAABkcnMvZG93&#10;bnJldi54bWxQSwUGAAAAAAQABAD1AAAAhwMAAAAA&#10;" fillcolor="#6d6e71 [3206]" stroked="f" strokeweight="2pt">
                  <v:textbox>
                    <w:txbxContent>
                      <w:p w14:paraId="5FDF99BB" w14:textId="5E8E17F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£630m</w:t>
                        </w:r>
                      </w:p>
                    </w:txbxContent>
                  </v:textbox>
                </v:rect>
                <v:roundrect id="Rounded Rectangle 38" o:spid="_x0000_s1038"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xl78A&#10;AADbAAAADwAAAGRycy9kb3ducmV2LnhtbERPzYrCMBC+C75DGMHLsk1VWKQ2igii13X3AWabsa1N&#10;JqWJbfXpzWHB48f3n+9Ga0RPna8dK1gkKQjiwumaSwW/P8fPNQgfkDUax6TgQR522+kkx0y7gb+p&#10;v4RSxBD2GSqoQmgzKX1RkUWfuJY4clfXWQwRdqXUHQ4x3Bq5TNMvabHm2FBhS4eKiuZytwqeeFxd&#10;H+bU1n/9R+PMsB5uTaHUfDbuNyACjeEt/neftYJVHBu/xB8gt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vf/GXvwAAANsAAAAPAAAAAAAAAAAAAAAAAJgCAABkcnMvZG93bnJl&#10;di54bWxQSwUGAAAAAAQABAD1AAAAhAMAAAAA&#10;" fillcolor="#008c9b [3204]" stroked="f" strokeweight="2pt">
                  <v:textbox>
                    <w:txbxContent>
                      <w:p w14:paraId="0E1A0527"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0959501B" w14:textId="77777777" w:rsidR="001E63EE" w:rsidRDefault="001E63EE" w:rsidP="00897D79">
                        <w:pPr>
                          <w:pStyle w:val="NormalWeb"/>
                          <w:spacing w:before="0" w:beforeAutospacing="0" w:after="0" w:afterAutospacing="0"/>
                          <w:jc w:val="center"/>
                        </w:pPr>
                      </w:p>
                      <w:p w14:paraId="17446A49" w14:textId="0F960563"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£250m</w:t>
                        </w:r>
                      </w:p>
                    </w:txbxContent>
                  </v:textbox>
                </v:roundrect>
                <v:roundrect id="Rounded Rectangle 39" o:spid="_x0000_s1039"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OIXsEA&#10;AADbAAAADwAAAGRycy9kb3ducmV2LnhtbESPT4vCMBTE7wt+h/AEb2uqlUWrUUQUvCisf+6P5tkW&#10;m5eaRK3f3ggLexxm5jfMbNGaWjzI+cqygkE/AUGcW11xoeB03HyPQfiArLG2TApe5GEx73zNMNP2&#10;yb/0OIRCRAj7DBWUITSZlD4vyaDv24Y4ehfrDIYoXSG1w2eEm1oOk+RHGqw4LpTY0Kqk/Hq4GwVJ&#10;s7R+/xql6XF93oXbSLtqopXqddvlFESgNvyH/9pbrSCdwOdL/AFy/g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RjiF7BAAAA2wAAAA8AAAAAAAAAAAAAAAAAmAIAAGRycy9kb3du&#10;cmV2LnhtbFBLBQYAAAAABAAEAPUAAACGAwAAAAA=&#10;" fillcolor="#0070c0" stroked="f" strokeweight="2pt">
                  <v:textbox>
                    <w:txbxContent>
                      <w:p w14:paraId="51116386" w14:textId="621BE7AF"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£230m</w:t>
                        </w:r>
                      </w:p>
                    </w:txbxContent>
                  </v:textbox>
                </v:roundrect>
                <v:roundrect id="Rounded Rectangle 40" o:spid="_x0000_s1040" style="position:absolute;left:46486;top:4669;width:15841;height:960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6lEcEA&#10;AADbAAAADwAAAGRycy9kb3ducmV2LnhtbERPy4rCMBTdC/5DuAOzkTF1fCDVKCIIg260HffX5k5b&#10;bG5qk9Hq15uF4PJw3vNlaypxpcaVlhUM+hEI4szqknMFv+nmawrCeWSNlWVScCcHy0W3M8dY2xsf&#10;6Jr4XIQQdjEqKLyvYyldVpBB17c1ceD+bGPQB9jkUjd4C+Gmkt9RNJEGSw4NBda0Lig7J/9GQbmd&#10;2E1veElP0yPvE7kbPMbno1KfH+1qBsJT69/il/tHKxiF9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upRHBAAAA2wAAAA8AAAAAAAAAAAAAAAAAmAIAAGRycy9kb3du&#10;cmV2LnhtbFBLBQYAAAAABAAEAPUAAACGAwAAAAA=&#10;" fillcolor="#7030a0" stroked="f" strokeweight="2pt">
                  <v:textbox>
                    <w:txbxContent>
                      <w:p w14:paraId="35E37190" w14:textId="41968308"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£150m</w:t>
                        </w:r>
                      </w:p>
                    </w:txbxContent>
                  </v:textbox>
                </v:roundrect>
                <v:rect id="Rectangle 41" o:spid="_x0000_s1041"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l3gFcAA&#10;AADbAAAADwAAAGRycy9kb3ducmV2LnhtbESPT4vCMBTE7wt+h/CEva2pootUo5SCoEfrn/OjebbF&#10;5KU0Uet+eiMIexxm5jfMct1bI+7U+caxgvEoAUFcOt1wpeB42PzMQfiArNE4JgVP8rBeDb6WmGr3&#10;4D3di1CJCGGfooI6hDaV0pc1WfQj1xJH7+I6iyHKrpK6w0eEWyMnSfIrLTYcF2psKa+pvBY3q2DG&#10;tJuF4s/kpyy73LA85WdvlPoe9tkCRKA+/Ic/7a1WMB3D+0v8AXL1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l3gFcAAAADbAAAADwAAAAAAAAAAAAAAAACYAgAAZHJzL2Rvd25y&#10;ZXYueG1sUEsFBgAAAAAEAAQA9QAAAIUDAAAAAA==&#10;" fillcolor="#6d6e71 [3206]" stroked="f" strokeweight="2pt">
                  <v:textbox>
                    <w:txbxContent>
                      <w:p w14:paraId="1B3FC079"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Gross Value Added (GVA)</w:t>
                        </w:r>
                      </w:p>
                    </w:txbxContent>
                  </v:textbox>
                </v:rect>
              </v:group>
            </w:pict>
          </mc:Fallback>
        </mc:AlternateContent>
      </w:r>
    </w:p>
    <w:p w14:paraId="438E1971" w14:textId="77777777" w:rsidR="00897D79" w:rsidRDefault="00897D79" w:rsidP="00897D79">
      <w:pPr>
        <w:rPr>
          <w:rFonts w:ascii="Calibri" w:eastAsia="Microsoft JhengHei" w:hAnsi="Calibri"/>
          <w:szCs w:val="22"/>
        </w:rPr>
      </w:pPr>
    </w:p>
    <w:p w14:paraId="3D72CB75" w14:textId="77777777" w:rsidR="00897D79" w:rsidRDefault="00897D79" w:rsidP="00897D79">
      <w:pPr>
        <w:rPr>
          <w:rFonts w:ascii="Calibri" w:eastAsia="Microsoft JhengHei" w:hAnsi="Calibri"/>
          <w:szCs w:val="22"/>
        </w:rPr>
      </w:pPr>
    </w:p>
    <w:p w14:paraId="77F42550" w14:textId="77777777" w:rsidR="00897D79" w:rsidRDefault="00897D79" w:rsidP="00897D79">
      <w:pPr>
        <w:rPr>
          <w:rFonts w:ascii="Calibri" w:eastAsia="Microsoft JhengHei" w:hAnsi="Calibri"/>
          <w:szCs w:val="22"/>
        </w:rPr>
      </w:pPr>
    </w:p>
    <w:p w14:paraId="6C4857C9" w14:textId="77777777" w:rsidR="00897D79" w:rsidRDefault="00897D79" w:rsidP="00897D79">
      <w:pPr>
        <w:rPr>
          <w:rFonts w:ascii="Calibri" w:eastAsia="Microsoft JhengHei" w:hAnsi="Calibri"/>
          <w:szCs w:val="22"/>
        </w:rPr>
      </w:pPr>
    </w:p>
    <w:p w14:paraId="2E5C9F40" w14:textId="77777777" w:rsidR="00897D79" w:rsidRDefault="00897D79" w:rsidP="00897D79">
      <w:pPr>
        <w:rPr>
          <w:rFonts w:ascii="Calibri" w:eastAsia="Microsoft JhengHei" w:hAnsi="Calibri"/>
          <w:szCs w:val="22"/>
        </w:rPr>
      </w:pPr>
    </w:p>
    <w:p w14:paraId="32561D03" w14:textId="77777777" w:rsidR="00897D79" w:rsidRDefault="00897D79" w:rsidP="00897D79">
      <w:pPr>
        <w:rPr>
          <w:rFonts w:ascii="Calibri" w:eastAsia="Microsoft JhengHei" w:hAnsi="Calibri"/>
          <w:szCs w:val="22"/>
        </w:rPr>
      </w:pPr>
    </w:p>
    <w:p w14:paraId="2CA3CFDC" w14:textId="77777777" w:rsidR="00897D79" w:rsidRPr="00C81A27" w:rsidRDefault="00897D79" w:rsidP="00897D79">
      <w:pPr>
        <w:spacing w:before="60" w:after="0"/>
        <w:jc w:val="right"/>
        <w:rPr>
          <w:i/>
          <w:iCs/>
          <w:sz w:val="18"/>
        </w:rPr>
      </w:pPr>
      <w:r w:rsidRPr="00C81A27">
        <w:rPr>
          <w:rStyle w:val="SubtleEmphasis"/>
          <w:color w:val="auto"/>
          <w:sz w:val="18"/>
        </w:rPr>
        <w:t>Source: ONS, FAME, Cebr analysis</w:t>
      </w:r>
    </w:p>
    <w:p w14:paraId="4128EEDE" w14:textId="77777777" w:rsidR="00C81A27" w:rsidRDefault="00C81A27" w:rsidP="00897D79">
      <w:pPr>
        <w:rPr>
          <w:i/>
          <w:iCs/>
          <w:color w:val="008C9B" w:themeColor="text2"/>
          <w:sz w:val="18"/>
          <w:szCs w:val="18"/>
        </w:rPr>
      </w:pPr>
    </w:p>
    <w:p w14:paraId="35B2B999" w14:textId="3AD0FBDF" w:rsidR="00897D79" w:rsidRPr="003D6E44" w:rsidRDefault="00897D79" w:rsidP="00897D79">
      <w:r>
        <w:fldChar w:fldCharType="begin"/>
      </w:r>
      <w:r>
        <w:instrText xml:space="preserve"> REF _Ref490055775 \h </w:instrText>
      </w:r>
      <w:r>
        <w:fldChar w:fldCharType="separate"/>
      </w:r>
      <w:r w:rsidR="00963862">
        <w:t xml:space="preserve">Table </w:t>
      </w:r>
      <w:r w:rsidR="00963862">
        <w:rPr>
          <w:noProof/>
        </w:rPr>
        <w:t>12</w:t>
      </w:r>
      <w:r>
        <w:fldChar w:fldCharType="end"/>
      </w:r>
      <w:r>
        <w:t xml:space="preserve"> below shows the estimated aggregate GVA impacts from the individual Maritime industries.</w:t>
      </w:r>
      <w:r w:rsidRPr="00020D65">
        <w:t xml:space="preserve"> </w:t>
      </w:r>
      <w:r>
        <w:t xml:space="preserve">Similar to turnover, the shipping industry contributed the majority of the direct impacts for the Welsh </w:t>
      </w:r>
      <w:r w:rsidR="00654BBE">
        <w:t>Maritime Sector</w:t>
      </w:r>
      <w:r>
        <w:t xml:space="preserve"> in 2017. At £127 million, the shipping industry represented 50% of the direct GVA contributions in 2017. Following the shipping industry, the marine engineering and scientific industry and the ports industry directly contributed £51 million and £49 million respectively to GVA in 2017. The highest aggregate impact can be identified within the shipping industry at £331 million. </w:t>
      </w:r>
    </w:p>
    <w:p w14:paraId="2486F8D4" w14:textId="72B9D3C2" w:rsidR="00897D79" w:rsidRDefault="00897D79" w:rsidP="00897D79">
      <w:pPr>
        <w:pStyle w:val="Caption"/>
        <w:keepNext/>
      </w:pPr>
      <w:bookmarkStart w:id="74" w:name="_Ref490055775"/>
      <w:r>
        <w:t xml:space="preserve">Table </w:t>
      </w:r>
      <w:r>
        <w:rPr>
          <w:noProof/>
        </w:rPr>
        <w:fldChar w:fldCharType="begin"/>
      </w:r>
      <w:r>
        <w:rPr>
          <w:noProof/>
        </w:rPr>
        <w:instrText xml:space="preserve"> SEQ Table \* ARABIC </w:instrText>
      </w:r>
      <w:r>
        <w:rPr>
          <w:noProof/>
        </w:rPr>
        <w:fldChar w:fldCharType="separate"/>
      </w:r>
      <w:r w:rsidR="00963862">
        <w:rPr>
          <w:noProof/>
        </w:rPr>
        <w:t>12</w:t>
      </w:r>
      <w:r>
        <w:rPr>
          <w:noProof/>
        </w:rPr>
        <w:fldChar w:fldCharType="end"/>
      </w:r>
      <w:bookmarkEnd w:id="74"/>
      <w:r>
        <w:t xml:space="preserve">: </w:t>
      </w:r>
      <w:r w:rsidRPr="00957D2B">
        <w:t>GVA impacts by each Ma</w:t>
      </w:r>
      <w:r w:rsidR="00CD65E7">
        <w:t xml:space="preserve">ritime industry in Wales, </w:t>
      </w:r>
      <w:r>
        <w:t>2017</w:t>
      </w:r>
      <w:r w:rsidR="00A51734">
        <w:t>, £ million</w:t>
      </w:r>
    </w:p>
    <w:tbl>
      <w:tblPr>
        <w:tblW w:w="9482" w:type="dxa"/>
        <w:tblLook w:val="04A0" w:firstRow="1" w:lastRow="0" w:firstColumn="1" w:lastColumn="0" w:noHBand="0" w:noVBand="1"/>
      </w:tblPr>
      <w:tblGrid>
        <w:gridCol w:w="3793"/>
        <w:gridCol w:w="1387"/>
        <w:gridCol w:w="1434"/>
        <w:gridCol w:w="1434"/>
        <w:gridCol w:w="1434"/>
      </w:tblGrid>
      <w:tr w:rsidR="00897D79" w:rsidRPr="00604F21" w14:paraId="0A5172D9" w14:textId="77777777" w:rsidTr="00963862">
        <w:trPr>
          <w:trHeight w:val="575"/>
        </w:trPr>
        <w:tc>
          <w:tcPr>
            <w:tcW w:w="3793" w:type="dxa"/>
            <w:tcBorders>
              <w:top w:val="single" w:sz="8" w:space="0" w:color="FFFFFF"/>
              <w:left w:val="nil"/>
              <w:bottom w:val="single" w:sz="12" w:space="0" w:color="FFFFFF"/>
              <w:right w:val="single" w:sz="8" w:space="0" w:color="FFFFFF"/>
            </w:tcBorders>
            <w:shd w:val="clear" w:color="000000" w:fill="008C9B"/>
            <w:vAlign w:val="center"/>
            <w:hideMark/>
          </w:tcPr>
          <w:p w14:paraId="6904931D" w14:textId="77777777" w:rsidR="00897D79" w:rsidRPr="00604F21" w:rsidRDefault="00897D79" w:rsidP="00916197">
            <w:pPr>
              <w:spacing w:after="0"/>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GVA in 2017</w:t>
            </w:r>
          </w:p>
        </w:tc>
        <w:tc>
          <w:tcPr>
            <w:tcW w:w="1387" w:type="dxa"/>
            <w:tcBorders>
              <w:top w:val="single" w:sz="8" w:space="0" w:color="FFFFFF"/>
              <w:left w:val="nil"/>
              <w:bottom w:val="single" w:sz="12" w:space="0" w:color="FFFFFF"/>
              <w:right w:val="single" w:sz="8" w:space="0" w:color="FFFFFF"/>
            </w:tcBorders>
            <w:shd w:val="clear" w:color="000000" w:fill="008C9B"/>
            <w:vAlign w:val="center"/>
            <w:hideMark/>
          </w:tcPr>
          <w:p w14:paraId="6F8C9EEB" w14:textId="7AAF27F0"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00B97FFB" w14:textId="2C9C1880"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Indirect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676F7528" w14:textId="7B64B925"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Induced Impact</w:t>
            </w:r>
            <w:r w:rsidR="00610DA5">
              <w:rPr>
                <w:rFonts w:ascii="Calibri" w:eastAsia="Times New Roman" w:hAnsi="Calibri"/>
                <w:b/>
                <w:bCs/>
                <w:color w:val="FFFFFF"/>
                <w:sz w:val="20"/>
                <w:lang w:eastAsia="en-GB"/>
              </w:rPr>
              <w:t xml:space="preserve"> (£m)</w:t>
            </w:r>
          </w:p>
        </w:tc>
        <w:tc>
          <w:tcPr>
            <w:tcW w:w="1434" w:type="dxa"/>
            <w:tcBorders>
              <w:top w:val="single" w:sz="8" w:space="0" w:color="FFFFFF"/>
              <w:left w:val="nil"/>
              <w:bottom w:val="single" w:sz="12" w:space="0" w:color="FFFFFF"/>
              <w:right w:val="single" w:sz="8" w:space="0" w:color="FFFFFF"/>
            </w:tcBorders>
            <w:shd w:val="clear" w:color="000000" w:fill="008C9B"/>
            <w:vAlign w:val="center"/>
            <w:hideMark/>
          </w:tcPr>
          <w:p w14:paraId="39EE697B" w14:textId="621FA7B1"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04F21" w14:paraId="16694F31" w14:textId="77777777" w:rsidTr="00963862">
        <w:trPr>
          <w:trHeight w:val="360"/>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71AF962B" w14:textId="77777777" w:rsidR="00897D79" w:rsidRPr="00604F21" w:rsidRDefault="00897D79" w:rsidP="00916197">
            <w:pPr>
              <w:spacing w:after="0"/>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TOTAL</w:t>
            </w:r>
          </w:p>
        </w:tc>
        <w:tc>
          <w:tcPr>
            <w:tcW w:w="1387" w:type="dxa"/>
            <w:tcBorders>
              <w:top w:val="nil"/>
              <w:left w:val="nil"/>
              <w:bottom w:val="single" w:sz="8" w:space="0" w:color="FFFFFF"/>
              <w:right w:val="single" w:sz="8" w:space="0" w:color="FFFFFF"/>
            </w:tcBorders>
            <w:shd w:val="clear" w:color="000000" w:fill="E7EEEF"/>
            <w:vAlign w:val="center"/>
            <w:hideMark/>
          </w:tcPr>
          <w:p w14:paraId="7820D75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256</w:t>
            </w:r>
          </w:p>
        </w:tc>
        <w:tc>
          <w:tcPr>
            <w:tcW w:w="1434" w:type="dxa"/>
            <w:tcBorders>
              <w:top w:val="nil"/>
              <w:left w:val="nil"/>
              <w:bottom w:val="single" w:sz="8" w:space="0" w:color="FFFFFF"/>
              <w:right w:val="single" w:sz="8" w:space="0" w:color="FFFFFF"/>
            </w:tcBorders>
            <w:shd w:val="clear" w:color="000000" w:fill="E7EEEF"/>
            <w:vAlign w:val="center"/>
            <w:hideMark/>
          </w:tcPr>
          <w:p w14:paraId="1EF14D9E"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233</w:t>
            </w:r>
          </w:p>
        </w:tc>
        <w:tc>
          <w:tcPr>
            <w:tcW w:w="1434" w:type="dxa"/>
            <w:tcBorders>
              <w:top w:val="nil"/>
              <w:left w:val="nil"/>
              <w:bottom w:val="single" w:sz="8" w:space="0" w:color="FFFFFF"/>
              <w:right w:val="single" w:sz="8" w:space="0" w:color="FFFFFF"/>
            </w:tcBorders>
            <w:shd w:val="clear" w:color="000000" w:fill="E7EEEF"/>
            <w:vAlign w:val="center"/>
            <w:hideMark/>
          </w:tcPr>
          <w:p w14:paraId="2A3B5E5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150</w:t>
            </w:r>
          </w:p>
        </w:tc>
        <w:tc>
          <w:tcPr>
            <w:tcW w:w="1434" w:type="dxa"/>
            <w:tcBorders>
              <w:top w:val="nil"/>
              <w:left w:val="nil"/>
              <w:bottom w:val="single" w:sz="8" w:space="0" w:color="FFFFFF"/>
              <w:right w:val="single" w:sz="8" w:space="0" w:color="FFFFFF"/>
            </w:tcBorders>
            <w:shd w:val="clear" w:color="000000" w:fill="E7EEEF"/>
            <w:vAlign w:val="center"/>
            <w:hideMark/>
          </w:tcPr>
          <w:p w14:paraId="42A0304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638</w:t>
            </w:r>
          </w:p>
        </w:tc>
      </w:tr>
      <w:tr w:rsidR="00897D79" w:rsidRPr="00604F21" w14:paraId="25DC060B"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610FC92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Shipping</w:t>
            </w:r>
          </w:p>
        </w:tc>
        <w:tc>
          <w:tcPr>
            <w:tcW w:w="1387" w:type="dxa"/>
            <w:tcBorders>
              <w:top w:val="nil"/>
              <w:left w:val="nil"/>
              <w:bottom w:val="single" w:sz="8" w:space="0" w:color="FFFFFF"/>
              <w:right w:val="single" w:sz="8" w:space="0" w:color="FFFFFF"/>
            </w:tcBorders>
            <w:shd w:val="clear" w:color="000000" w:fill="D0CECE"/>
            <w:vAlign w:val="center"/>
            <w:hideMark/>
          </w:tcPr>
          <w:p w14:paraId="35A448B7"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127</w:t>
            </w:r>
          </w:p>
        </w:tc>
        <w:tc>
          <w:tcPr>
            <w:tcW w:w="1434" w:type="dxa"/>
            <w:tcBorders>
              <w:top w:val="nil"/>
              <w:left w:val="nil"/>
              <w:bottom w:val="single" w:sz="8" w:space="0" w:color="FFFFFF"/>
              <w:right w:val="single" w:sz="8" w:space="0" w:color="FFFFFF"/>
            </w:tcBorders>
            <w:shd w:val="clear" w:color="000000" w:fill="D0CECE"/>
            <w:vAlign w:val="center"/>
            <w:hideMark/>
          </w:tcPr>
          <w:p w14:paraId="7A8657C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129</w:t>
            </w:r>
          </w:p>
        </w:tc>
        <w:tc>
          <w:tcPr>
            <w:tcW w:w="1434" w:type="dxa"/>
            <w:tcBorders>
              <w:top w:val="nil"/>
              <w:left w:val="nil"/>
              <w:bottom w:val="single" w:sz="8" w:space="0" w:color="FFFFFF"/>
              <w:right w:val="single" w:sz="8" w:space="0" w:color="FFFFFF"/>
            </w:tcBorders>
            <w:shd w:val="clear" w:color="000000" w:fill="D0CECE"/>
            <w:vAlign w:val="center"/>
            <w:hideMark/>
          </w:tcPr>
          <w:p w14:paraId="0EE1D86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75</w:t>
            </w:r>
          </w:p>
        </w:tc>
        <w:tc>
          <w:tcPr>
            <w:tcW w:w="1434" w:type="dxa"/>
            <w:tcBorders>
              <w:top w:val="nil"/>
              <w:left w:val="nil"/>
              <w:bottom w:val="single" w:sz="8" w:space="0" w:color="FFFFFF"/>
              <w:right w:val="single" w:sz="8" w:space="0" w:color="FFFFFF"/>
            </w:tcBorders>
            <w:shd w:val="clear" w:color="000000" w:fill="D0CECE"/>
            <w:vAlign w:val="center"/>
            <w:hideMark/>
          </w:tcPr>
          <w:p w14:paraId="0937343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331</w:t>
            </w:r>
          </w:p>
        </w:tc>
      </w:tr>
      <w:tr w:rsidR="00897D79" w:rsidRPr="00604F21" w14:paraId="31E9248A"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04E08D78"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Ports</w:t>
            </w:r>
          </w:p>
        </w:tc>
        <w:tc>
          <w:tcPr>
            <w:tcW w:w="1387" w:type="dxa"/>
            <w:tcBorders>
              <w:top w:val="nil"/>
              <w:left w:val="nil"/>
              <w:bottom w:val="single" w:sz="8" w:space="0" w:color="FFFFFF"/>
              <w:right w:val="single" w:sz="8" w:space="0" w:color="FFFFFF"/>
            </w:tcBorders>
            <w:shd w:val="clear" w:color="000000" w:fill="E7EEEF"/>
            <w:vAlign w:val="center"/>
            <w:hideMark/>
          </w:tcPr>
          <w:p w14:paraId="359FF449"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49</w:t>
            </w:r>
          </w:p>
        </w:tc>
        <w:tc>
          <w:tcPr>
            <w:tcW w:w="1434" w:type="dxa"/>
            <w:tcBorders>
              <w:top w:val="nil"/>
              <w:left w:val="nil"/>
              <w:bottom w:val="single" w:sz="8" w:space="0" w:color="FFFFFF"/>
              <w:right w:val="single" w:sz="8" w:space="0" w:color="FFFFFF"/>
            </w:tcBorders>
            <w:shd w:val="clear" w:color="000000" w:fill="E7EEEF"/>
            <w:vAlign w:val="center"/>
            <w:hideMark/>
          </w:tcPr>
          <w:p w14:paraId="546B572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48</w:t>
            </w:r>
          </w:p>
        </w:tc>
        <w:tc>
          <w:tcPr>
            <w:tcW w:w="1434" w:type="dxa"/>
            <w:tcBorders>
              <w:top w:val="nil"/>
              <w:left w:val="nil"/>
              <w:bottom w:val="single" w:sz="8" w:space="0" w:color="FFFFFF"/>
              <w:right w:val="single" w:sz="8" w:space="0" w:color="FFFFFF"/>
            </w:tcBorders>
            <w:shd w:val="clear" w:color="000000" w:fill="E7EEEF"/>
            <w:vAlign w:val="center"/>
            <w:hideMark/>
          </w:tcPr>
          <w:p w14:paraId="34FA793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31</w:t>
            </w:r>
          </w:p>
        </w:tc>
        <w:tc>
          <w:tcPr>
            <w:tcW w:w="1434" w:type="dxa"/>
            <w:tcBorders>
              <w:top w:val="nil"/>
              <w:left w:val="nil"/>
              <w:bottom w:val="single" w:sz="8" w:space="0" w:color="FFFFFF"/>
              <w:right w:val="single" w:sz="8" w:space="0" w:color="FFFFFF"/>
            </w:tcBorders>
            <w:shd w:val="clear" w:color="000000" w:fill="E7EEEF"/>
            <w:vAlign w:val="center"/>
            <w:hideMark/>
          </w:tcPr>
          <w:p w14:paraId="0807E50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128</w:t>
            </w:r>
          </w:p>
        </w:tc>
      </w:tr>
      <w:tr w:rsidR="00897D79" w:rsidRPr="00604F21" w14:paraId="42E43C4C"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582B9F6B"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Leisure Marine</w:t>
            </w:r>
          </w:p>
        </w:tc>
        <w:tc>
          <w:tcPr>
            <w:tcW w:w="1387" w:type="dxa"/>
            <w:tcBorders>
              <w:top w:val="nil"/>
              <w:left w:val="nil"/>
              <w:bottom w:val="single" w:sz="8" w:space="0" w:color="FFFFFF"/>
              <w:right w:val="single" w:sz="8" w:space="0" w:color="FFFFFF"/>
            </w:tcBorders>
            <w:shd w:val="clear" w:color="000000" w:fill="D0CECE"/>
            <w:vAlign w:val="center"/>
            <w:hideMark/>
          </w:tcPr>
          <w:p w14:paraId="1C8FAB2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15</w:t>
            </w:r>
          </w:p>
        </w:tc>
        <w:tc>
          <w:tcPr>
            <w:tcW w:w="1434" w:type="dxa"/>
            <w:tcBorders>
              <w:top w:val="nil"/>
              <w:left w:val="nil"/>
              <w:bottom w:val="single" w:sz="8" w:space="0" w:color="FFFFFF"/>
              <w:right w:val="single" w:sz="8" w:space="0" w:color="FFFFFF"/>
            </w:tcBorders>
            <w:shd w:val="clear" w:color="000000" w:fill="D0CECE"/>
            <w:vAlign w:val="center"/>
            <w:hideMark/>
          </w:tcPr>
          <w:p w14:paraId="4EA6DF59"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w:t>
            </w:r>
          </w:p>
        </w:tc>
        <w:tc>
          <w:tcPr>
            <w:tcW w:w="1434" w:type="dxa"/>
            <w:tcBorders>
              <w:top w:val="nil"/>
              <w:left w:val="nil"/>
              <w:bottom w:val="single" w:sz="8" w:space="0" w:color="FFFFFF"/>
              <w:right w:val="single" w:sz="8" w:space="0" w:color="FFFFFF"/>
            </w:tcBorders>
            <w:shd w:val="clear" w:color="000000" w:fill="D0CECE"/>
            <w:vAlign w:val="center"/>
            <w:hideMark/>
          </w:tcPr>
          <w:p w14:paraId="72D338C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w:t>
            </w:r>
          </w:p>
        </w:tc>
        <w:tc>
          <w:tcPr>
            <w:tcW w:w="1434" w:type="dxa"/>
            <w:tcBorders>
              <w:top w:val="nil"/>
              <w:left w:val="nil"/>
              <w:bottom w:val="single" w:sz="8" w:space="0" w:color="FFFFFF"/>
              <w:right w:val="single" w:sz="8" w:space="0" w:color="FFFFFF"/>
            </w:tcBorders>
            <w:shd w:val="clear" w:color="000000" w:fill="D0CECE"/>
            <w:vAlign w:val="center"/>
            <w:hideMark/>
          </w:tcPr>
          <w:p w14:paraId="2C3686F5"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w:t>
            </w:r>
          </w:p>
        </w:tc>
      </w:tr>
      <w:tr w:rsidR="00897D79" w:rsidRPr="00604F21" w14:paraId="14A605F6"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48E9FA8A"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Marine Engineering</w:t>
            </w:r>
          </w:p>
        </w:tc>
        <w:tc>
          <w:tcPr>
            <w:tcW w:w="1387" w:type="dxa"/>
            <w:tcBorders>
              <w:top w:val="nil"/>
              <w:left w:val="nil"/>
              <w:bottom w:val="single" w:sz="8" w:space="0" w:color="FFFFFF"/>
              <w:right w:val="single" w:sz="8" w:space="0" w:color="FFFFFF"/>
            </w:tcBorders>
            <w:shd w:val="clear" w:color="000000" w:fill="E7EEEF"/>
            <w:vAlign w:val="center"/>
            <w:hideMark/>
          </w:tcPr>
          <w:p w14:paraId="533D4C2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51</w:t>
            </w:r>
          </w:p>
        </w:tc>
        <w:tc>
          <w:tcPr>
            <w:tcW w:w="1434" w:type="dxa"/>
            <w:tcBorders>
              <w:top w:val="nil"/>
              <w:left w:val="nil"/>
              <w:bottom w:val="single" w:sz="8" w:space="0" w:color="FFFFFF"/>
              <w:right w:val="single" w:sz="8" w:space="0" w:color="FFFFFF"/>
            </w:tcBorders>
            <w:shd w:val="clear" w:color="000000" w:fill="E7EEEF"/>
            <w:vAlign w:val="center"/>
            <w:hideMark/>
          </w:tcPr>
          <w:p w14:paraId="71A08EE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32</w:t>
            </w:r>
          </w:p>
        </w:tc>
        <w:tc>
          <w:tcPr>
            <w:tcW w:w="1434" w:type="dxa"/>
            <w:tcBorders>
              <w:top w:val="nil"/>
              <w:left w:val="nil"/>
              <w:bottom w:val="single" w:sz="8" w:space="0" w:color="FFFFFF"/>
              <w:right w:val="single" w:sz="8" w:space="0" w:color="FFFFFF"/>
            </w:tcBorders>
            <w:shd w:val="clear" w:color="000000" w:fill="E7EEEF"/>
            <w:vAlign w:val="center"/>
            <w:hideMark/>
          </w:tcPr>
          <w:p w14:paraId="3797EA7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29</w:t>
            </w:r>
          </w:p>
        </w:tc>
        <w:tc>
          <w:tcPr>
            <w:tcW w:w="1434" w:type="dxa"/>
            <w:tcBorders>
              <w:top w:val="nil"/>
              <w:left w:val="nil"/>
              <w:bottom w:val="single" w:sz="8" w:space="0" w:color="FFFFFF"/>
              <w:right w:val="single" w:sz="8" w:space="0" w:color="FFFFFF"/>
            </w:tcBorders>
            <w:shd w:val="clear" w:color="000000" w:fill="E7EEEF"/>
            <w:vAlign w:val="center"/>
            <w:hideMark/>
          </w:tcPr>
          <w:p w14:paraId="5A0BE03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112</w:t>
            </w:r>
          </w:p>
        </w:tc>
      </w:tr>
      <w:tr w:rsidR="00897D79" w:rsidRPr="00604F21" w14:paraId="463440C2" w14:textId="77777777" w:rsidTr="00963862">
        <w:trPr>
          <w:trHeight w:val="344"/>
        </w:trPr>
        <w:tc>
          <w:tcPr>
            <w:tcW w:w="3793" w:type="dxa"/>
            <w:tcBorders>
              <w:top w:val="nil"/>
              <w:left w:val="single" w:sz="8" w:space="0" w:color="FFFFFF"/>
              <w:bottom w:val="single" w:sz="8" w:space="0" w:color="FFFFFF"/>
              <w:right w:val="single" w:sz="8" w:space="0" w:color="FFFFFF"/>
            </w:tcBorders>
            <w:shd w:val="clear" w:color="000000" w:fill="008C9B"/>
            <w:vAlign w:val="center"/>
            <w:hideMark/>
          </w:tcPr>
          <w:p w14:paraId="403F6FA1"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Maritime Business Services</w:t>
            </w:r>
          </w:p>
        </w:tc>
        <w:tc>
          <w:tcPr>
            <w:tcW w:w="1387" w:type="dxa"/>
            <w:tcBorders>
              <w:top w:val="nil"/>
              <w:left w:val="nil"/>
              <w:bottom w:val="single" w:sz="8" w:space="0" w:color="FFFFFF"/>
              <w:right w:val="single" w:sz="8" w:space="0" w:color="FFFFFF"/>
            </w:tcBorders>
            <w:shd w:val="clear" w:color="000000" w:fill="D0CECE"/>
            <w:vAlign w:val="center"/>
            <w:hideMark/>
          </w:tcPr>
          <w:p w14:paraId="5CAA5558"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14</w:t>
            </w:r>
          </w:p>
        </w:tc>
        <w:tc>
          <w:tcPr>
            <w:tcW w:w="1434" w:type="dxa"/>
            <w:tcBorders>
              <w:top w:val="nil"/>
              <w:left w:val="nil"/>
              <w:bottom w:val="single" w:sz="8" w:space="0" w:color="FFFFFF"/>
              <w:right w:val="single" w:sz="8" w:space="0" w:color="FFFFFF"/>
            </w:tcBorders>
            <w:shd w:val="clear" w:color="000000" w:fill="D0CECE"/>
            <w:vAlign w:val="center"/>
            <w:hideMark/>
          </w:tcPr>
          <w:p w14:paraId="0D98F35A"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14</w:t>
            </w:r>
          </w:p>
        </w:tc>
        <w:tc>
          <w:tcPr>
            <w:tcW w:w="1434" w:type="dxa"/>
            <w:tcBorders>
              <w:top w:val="nil"/>
              <w:left w:val="nil"/>
              <w:bottom w:val="single" w:sz="8" w:space="0" w:color="FFFFFF"/>
              <w:right w:val="single" w:sz="8" w:space="0" w:color="FFFFFF"/>
            </w:tcBorders>
            <w:shd w:val="clear" w:color="000000" w:fill="D0CECE"/>
            <w:vAlign w:val="center"/>
            <w:hideMark/>
          </w:tcPr>
          <w:p w14:paraId="3FBC8A2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7</w:t>
            </w:r>
          </w:p>
        </w:tc>
        <w:tc>
          <w:tcPr>
            <w:tcW w:w="1434" w:type="dxa"/>
            <w:tcBorders>
              <w:top w:val="nil"/>
              <w:left w:val="nil"/>
              <w:bottom w:val="single" w:sz="8" w:space="0" w:color="FFFFFF"/>
              <w:right w:val="single" w:sz="8" w:space="0" w:color="FFFFFF"/>
            </w:tcBorders>
            <w:shd w:val="clear" w:color="000000" w:fill="D0CECE"/>
            <w:vAlign w:val="center"/>
            <w:hideMark/>
          </w:tcPr>
          <w:p w14:paraId="3F0BE3F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35</w:t>
            </w:r>
          </w:p>
        </w:tc>
      </w:tr>
    </w:tbl>
    <w:p w14:paraId="5DA532C2" w14:textId="77777777" w:rsidR="00897D79" w:rsidRPr="00C81A27" w:rsidRDefault="00897D79" w:rsidP="00C81A27">
      <w:pPr>
        <w:spacing w:before="60" w:after="120"/>
        <w:jc w:val="right"/>
        <w:rPr>
          <w:rStyle w:val="SubtleEmphasis"/>
          <w:color w:val="auto"/>
          <w:sz w:val="18"/>
        </w:rPr>
      </w:pPr>
      <w:r w:rsidRPr="00C81A27">
        <w:rPr>
          <w:rStyle w:val="SubtleEmphasis"/>
          <w:color w:val="auto"/>
          <w:sz w:val="18"/>
        </w:rPr>
        <w:t>Source: ONS, FAME, Cebr analysis</w:t>
      </w:r>
    </w:p>
    <w:p w14:paraId="7F52B811" w14:textId="16193CA1" w:rsidR="00897D79" w:rsidRDefault="00897D79" w:rsidP="00897D79">
      <w:pPr>
        <w:spacing w:after="120"/>
      </w:pPr>
      <w:r>
        <w:fldChar w:fldCharType="begin"/>
      </w:r>
      <w:r>
        <w:instrText xml:space="preserve"> REF _Ref490055899 \h </w:instrText>
      </w:r>
      <w:r>
        <w:fldChar w:fldCharType="separate"/>
      </w:r>
      <w:r w:rsidR="00963862">
        <w:t xml:space="preserve">Table </w:t>
      </w:r>
      <w:r w:rsidR="00963862">
        <w:rPr>
          <w:noProof/>
        </w:rPr>
        <w:t>13</w:t>
      </w:r>
      <w:r>
        <w:fldChar w:fldCharType="end"/>
      </w:r>
      <w:r>
        <w:t xml:space="preserve"> below shows the estimated direct and total economic impacts of the </w:t>
      </w:r>
      <w:r w:rsidR="00654BBE">
        <w:t>Maritime Sector</w:t>
      </w:r>
      <w:r>
        <w:t xml:space="preserve"> in Wales across the years 2010 and 2017. The direct and total impacts were significantly lower in 2017 compared to previous years. Total and direct impact peaked in 2011 and 2016. The composite GVA multiplier has remained relatively stable across the years considered. </w:t>
      </w:r>
    </w:p>
    <w:p w14:paraId="236C529F" w14:textId="77777777" w:rsidR="00897D79" w:rsidRDefault="00897D79" w:rsidP="00897D79"/>
    <w:p w14:paraId="0DAA6DB7" w14:textId="77777777" w:rsidR="00897D79" w:rsidRDefault="00897D79" w:rsidP="00897D79"/>
    <w:p w14:paraId="5E3FB1B0" w14:textId="77777777" w:rsidR="00897D79" w:rsidRDefault="00897D79" w:rsidP="00897D79">
      <w:pPr>
        <w:rPr>
          <w:rFonts w:ascii="Arial" w:hAnsi="Arial"/>
          <w:sz w:val="20"/>
        </w:rPr>
      </w:pPr>
    </w:p>
    <w:p w14:paraId="4C908D38" w14:textId="2594673C" w:rsidR="00897D79" w:rsidRDefault="00897D79" w:rsidP="00897D79">
      <w:pPr>
        <w:pStyle w:val="Caption"/>
        <w:keepNext/>
      </w:pPr>
      <w:bookmarkStart w:id="75" w:name="_Ref490055899"/>
      <w:r>
        <w:lastRenderedPageBreak/>
        <w:t xml:space="preserve">Table </w:t>
      </w:r>
      <w:r>
        <w:rPr>
          <w:noProof/>
        </w:rPr>
        <w:fldChar w:fldCharType="begin"/>
      </w:r>
      <w:r>
        <w:rPr>
          <w:noProof/>
        </w:rPr>
        <w:instrText xml:space="preserve"> SEQ Table \* ARABIC </w:instrText>
      </w:r>
      <w:r>
        <w:rPr>
          <w:noProof/>
        </w:rPr>
        <w:fldChar w:fldCharType="separate"/>
      </w:r>
      <w:r w:rsidR="00963862">
        <w:rPr>
          <w:noProof/>
        </w:rPr>
        <w:t>13</w:t>
      </w:r>
      <w:r>
        <w:rPr>
          <w:noProof/>
        </w:rPr>
        <w:fldChar w:fldCharType="end"/>
      </w:r>
      <w:bookmarkEnd w:id="75"/>
      <w:r>
        <w:t xml:space="preserve">: </w:t>
      </w:r>
      <w:r w:rsidR="00610DA5">
        <w:t>Direct and aggregate</w:t>
      </w:r>
      <w:r>
        <w:t xml:space="preserve"> GVA impact of the </w:t>
      </w:r>
      <w:r w:rsidR="00654BBE">
        <w:t>Maritime Sector</w:t>
      </w:r>
      <w:r w:rsidRPr="0077369A">
        <w:t xml:space="preserve"> in </w:t>
      </w:r>
      <w:r>
        <w:t>Wales, 2010 to 2017</w:t>
      </w:r>
      <w:r w:rsidRPr="0077369A">
        <w:t>, £ million</w:t>
      </w:r>
    </w:p>
    <w:tbl>
      <w:tblPr>
        <w:tblW w:w="9372" w:type="dxa"/>
        <w:tblLook w:val="04A0" w:firstRow="1" w:lastRow="0" w:firstColumn="1" w:lastColumn="0" w:noHBand="0" w:noVBand="1"/>
      </w:tblPr>
      <w:tblGrid>
        <w:gridCol w:w="866"/>
        <w:gridCol w:w="2600"/>
        <w:gridCol w:w="3116"/>
        <w:gridCol w:w="2790"/>
      </w:tblGrid>
      <w:tr w:rsidR="00897D79" w:rsidRPr="00604F21" w14:paraId="56BF5930" w14:textId="77777777" w:rsidTr="00963862">
        <w:trPr>
          <w:trHeight w:val="590"/>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608686D7"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Year</w:t>
            </w:r>
          </w:p>
        </w:tc>
        <w:tc>
          <w:tcPr>
            <w:tcW w:w="2600" w:type="dxa"/>
            <w:tcBorders>
              <w:top w:val="single" w:sz="8" w:space="0" w:color="FFFFFF"/>
              <w:left w:val="nil"/>
              <w:bottom w:val="single" w:sz="12" w:space="0" w:color="FFFFFF"/>
              <w:right w:val="single" w:sz="8" w:space="0" w:color="FFFFFF"/>
            </w:tcBorders>
            <w:shd w:val="clear" w:color="000000" w:fill="008C9B"/>
            <w:vAlign w:val="center"/>
            <w:hideMark/>
          </w:tcPr>
          <w:p w14:paraId="23EFDCB8" w14:textId="5900192D"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Direct Impact</w:t>
            </w:r>
            <w:r w:rsidR="00610DA5">
              <w:rPr>
                <w:rFonts w:ascii="Calibri" w:eastAsia="Times New Roman" w:hAnsi="Calibri"/>
                <w:b/>
                <w:bCs/>
                <w:color w:val="FFFFFF"/>
                <w:sz w:val="20"/>
                <w:lang w:eastAsia="en-GB"/>
              </w:rPr>
              <w:t xml:space="preserve"> (£m)</w:t>
            </w:r>
          </w:p>
        </w:tc>
        <w:tc>
          <w:tcPr>
            <w:tcW w:w="3116" w:type="dxa"/>
            <w:tcBorders>
              <w:top w:val="single" w:sz="8" w:space="0" w:color="FFFFFF"/>
              <w:left w:val="nil"/>
              <w:bottom w:val="single" w:sz="12" w:space="0" w:color="FFFFFF"/>
              <w:right w:val="single" w:sz="8" w:space="0" w:color="FFFFFF"/>
            </w:tcBorders>
            <w:shd w:val="clear" w:color="000000" w:fill="008C9B"/>
            <w:vAlign w:val="center"/>
            <w:hideMark/>
          </w:tcPr>
          <w:p w14:paraId="43F346ED" w14:textId="77777777"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Composite GVA multiplier</w:t>
            </w:r>
          </w:p>
        </w:tc>
        <w:tc>
          <w:tcPr>
            <w:tcW w:w="2790" w:type="dxa"/>
            <w:tcBorders>
              <w:top w:val="single" w:sz="8" w:space="0" w:color="FFFFFF"/>
              <w:left w:val="nil"/>
              <w:bottom w:val="single" w:sz="12" w:space="0" w:color="FFFFFF"/>
              <w:right w:val="single" w:sz="8" w:space="0" w:color="FFFFFF"/>
            </w:tcBorders>
            <w:shd w:val="clear" w:color="000000" w:fill="008C9B"/>
            <w:vAlign w:val="center"/>
            <w:hideMark/>
          </w:tcPr>
          <w:p w14:paraId="66F4C1E5" w14:textId="73D2AED5" w:rsidR="00897D79" w:rsidRPr="00604F21" w:rsidRDefault="00897D79" w:rsidP="00916197">
            <w:pPr>
              <w:spacing w:after="0"/>
              <w:jc w:val="center"/>
              <w:rPr>
                <w:rFonts w:ascii="Calibri" w:eastAsia="Times New Roman" w:hAnsi="Calibri"/>
                <w:b/>
                <w:bCs/>
                <w:color w:val="FFFFFF"/>
                <w:sz w:val="20"/>
                <w:lang w:eastAsia="en-GB"/>
              </w:rPr>
            </w:pPr>
            <w:r w:rsidRPr="00604F21">
              <w:rPr>
                <w:rFonts w:ascii="Calibri" w:eastAsia="Times New Roman" w:hAnsi="Calibri"/>
                <w:b/>
                <w:bCs/>
                <w:color w:val="FFFFFF"/>
                <w:sz w:val="20"/>
                <w:lang w:eastAsia="en-GB"/>
              </w:rPr>
              <w:t>Aggregate impact</w:t>
            </w:r>
            <w:r w:rsidR="00610DA5">
              <w:rPr>
                <w:rFonts w:ascii="Calibri" w:eastAsia="Times New Roman" w:hAnsi="Calibri"/>
                <w:b/>
                <w:bCs/>
                <w:color w:val="FFFFFF"/>
                <w:sz w:val="20"/>
                <w:lang w:eastAsia="en-GB"/>
              </w:rPr>
              <w:t xml:space="preserve"> (£m)</w:t>
            </w:r>
          </w:p>
        </w:tc>
      </w:tr>
      <w:tr w:rsidR="00897D79" w:rsidRPr="00604F21" w14:paraId="66415DFC" w14:textId="77777777" w:rsidTr="00963862">
        <w:trPr>
          <w:trHeight w:val="371"/>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05CD6EF7"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2010</w:t>
            </w:r>
          </w:p>
        </w:tc>
        <w:tc>
          <w:tcPr>
            <w:tcW w:w="2600" w:type="dxa"/>
            <w:tcBorders>
              <w:top w:val="nil"/>
              <w:left w:val="nil"/>
              <w:bottom w:val="single" w:sz="8" w:space="0" w:color="FFFFFF"/>
              <w:right w:val="single" w:sz="8" w:space="0" w:color="FFFFFF"/>
            </w:tcBorders>
            <w:shd w:val="clear" w:color="000000" w:fill="E7EEEF"/>
            <w:vAlign w:val="center"/>
            <w:hideMark/>
          </w:tcPr>
          <w:p w14:paraId="3526BC1E"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333</w:t>
            </w:r>
          </w:p>
        </w:tc>
        <w:tc>
          <w:tcPr>
            <w:tcW w:w="3116" w:type="dxa"/>
            <w:tcBorders>
              <w:top w:val="nil"/>
              <w:left w:val="nil"/>
              <w:bottom w:val="single" w:sz="8" w:space="0" w:color="FFFFFF"/>
              <w:right w:val="single" w:sz="8" w:space="0" w:color="FFFFFF"/>
            </w:tcBorders>
            <w:shd w:val="clear" w:color="000000" w:fill="E7EEEF"/>
            <w:vAlign w:val="center"/>
            <w:hideMark/>
          </w:tcPr>
          <w:p w14:paraId="2A0BA23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1B59FCB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841</w:t>
            </w:r>
          </w:p>
        </w:tc>
      </w:tr>
      <w:tr w:rsidR="00897D79" w:rsidRPr="00604F21" w14:paraId="7E6F5648"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74BF7465"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2011</w:t>
            </w:r>
          </w:p>
        </w:tc>
        <w:tc>
          <w:tcPr>
            <w:tcW w:w="2600" w:type="dxa"/>
            <w:tcBorders>
              <w:top w:val="nil"/>
              <w:left w:val="nil"/>
              <w:bottom w:val="single" w:sz="8" w:space="0" w:color="FFFFFF"/>
              <w:right w:val="single" w:sz="8" w:space="0" w:color="FFFFFF"/>
            </w:tcBorders>
            <w:shd w:val="clear" w:color="000000" w:fill="D0CECE"/>
            <w:vAlign w:val="center"/>
            <w:hideMark/>
          </w:tcPr>
          <w:p w14:paraId="6FE13D7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417</w:t>
            </w:r>
          </w:p>
        </w:tc>
        <w:tc>
          <w:tcPr>
            <w:tcW w:w="3116" w:type="dxa"/>
            <w:tcBorders>
              <w:top w:val="nil"/>
              <w:left w:val="nil"/>
              <w:bottom w:val="single" w:sz="8" w:space="0" w:color="FFFFFF"/>
              <w:right w:val="single" w:sz="8" w:space="0" w:color="FFFFFF"/>
            </w:tcBorders>
            <w:shd w:val="clear" w:color="000000" w:fill="D0CECE"/>
            <w:vAlign w:val="center"/>
            <w:hideMark/>
          </w:tcPr>
          <w:p w14:paraId="2EFF613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D0CECE"/>
            <w:vAlign w:val="center"/>
            <w:hideMark/>
          </w:tcPr>
          <w:p w14:paraId="16420966"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1,054</w:t>
            </w:r>
          </w:p>
        </w:tc>
      </w:tr>
      <w:tr w:rsidR="00897D79" w:rsidRPr="00604F21" w14:paraId="0ADE3534"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104E0C42"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2012</w:t>
            </w:r>
          </w:p>
        </w:tc>
        <w:tc>
          <w:tcPr>
            <w:tcW w:w="2600" w:type="dxa"/>
            <w:tcBorders>
              <w:top w:val="nil"/>
              <w:left w:val="nil"/>
              <w:bottom w:val="single" w:sz="8" w:space="0" w:color="FFFFFF"/>
              <w:right w:val="single" w:sz="8" w:space="0" w:color="FFFFFF"/>
            </w:tcBorders>
            <w:shd w:val="clear" w:color="000000" w:fill="E7EEEF"/>
            <w:vAlign w:val="center"/>
            <w:hideMark/>
          </w:tcPr>
          <w:p w14:paraId="1D38FC72"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378</w:t>
            </w:r>
          </w:p>
        </w:tc>
        <w:tc>
          <w:tcPr>
            <w:tcW w:w="3116" w:type="dxa"/>
            <w:tcBorders>
              <w:top w:val="nil"/>
              <w:left w:val="nil"/>
              <w:bottom w:val="single" w:sz="8" w:space="0" w:color="FFFFFF"/>
              <w:right w:val="single" w:sz="8" w:space="0" w:color="FFFFFF"/>
            </w:tcBorders>
            <w:shd w:val="clear" w:color="000000" w:fill="E7EEEF"/>
            <w:vAlign w:val="center"/>
            <w:hideMark/>
          </w:tcPr>
          <w:p w14:paraId="2E396B4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6BD5F9D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956</w:t>
            </w:r>
          </w:p>
        </w:tc>
      </w:tr>
      <w:tr w:rsidR="00897D79" w:rsidRPr="00604F21" w14:paraId="7725781D"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09ABB0AF"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2013</w:t>
            </w:r>
          </w:p>
        </w:tc>
        <w:tc>
          <w:tcPr>
            <w:tcW w:w="2600" w:type="dxa"/>
            <w:tcBorders>
              <w:top w:val="nil"/>
              <w:left w:val="nil"/>
              <w:bottom w:val="single" w:sz="8" w:space="0" w:color="FFFFFF"/>
              <w:right w:val="single" w:sz="8" w:space="0" w:color="FFFFFF"/>
            </w:tcBorders>
            <w:shd w:val="clear" w:color="000000" w:fill="D0CECE"/>
            <w:vAlign w:val="center"/>
            <w:hideMark/>
          </w:tcPr>
          <w:p w14:paraId="1AA5E42C"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348</w:t>
            </w:r>
          </w:p>
        </w:tc>
        <w:tc>
          <w:tcPr>
            <w:tcW w:w="3116" w:type="dxa"/>
            <w:tcBorders>
              <w:top w:val="nil"/>
              <w:left w:val="nil"/>
              <w:bottom w:val="single" w:sz="8" w:space="0" w:color="FFFFFF"/>
              <w:right w:val="single" w:sz="8" w:space="0" w:color="FFFFFF"/>
            </w:tcBorders>
            <w:shd w:val="clear" w:color="000000" w:fill="D0CECE"/>
            <w:vAlign w:val="center"/>
            <w:hideMark/>
          </w:tcPr>
          <w:p w14:paraId="692F211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2.51</w:t>
            </w:r>
          </w:p>
        </w:tc>
        <w:tc>
          <w:tcPr>
            <w:tcW w:w="2790" w:type="dxa"/>
            <w:tcBorders>
              <w:top w:val="nil"/>
              <w:left w:val="nil"/>
              <w:bottom w:val="single" w:sz="8" w:space="0" w:color="FFFFFF"/>
              <w:right w:val="single" w:sz="8" w:space="0" w:color="FFFFFF"/>
            </w:tcBorders>
            <w:shd w:val="clear" w:color="000000" w:fill="D0CECE"/>
            <w:vAlign w:val="center"/>
            <w:hideMark/>
          </w:tcPr>
          <w:p w14:paraId="501600B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872</w:t>
            </w:r>
          </w:p>
        </w:tc>
      </w:tr>
      <w:tr w:rsidR="00897D79" w:rsidRPr="00604F21" w14:paraId="0EBB12B1"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737DED5D"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2014</w:t>
            </w:r>
          </w:p>
        </w:tc>
        <w:tc>
          <w:tcPr>
            <w:tcW w:w="2600" w:type="dxa"/>
            <w:tcBorders>
              <w:top w:val="nil"/>
              <w:left w:val="nil"/>
              <w:bottom w:val="single" w:sz="8" w:space="0" w:color="FFFFFF"/>
              <w:right w:val="single" w:sz="8" w:space="0" w:color="FFFFFF"/>
            </w:tcBorders>
            <w:shd w:val="clear" w:color="000000" w:fill="E7EEEF"/>
            <w:vAlign w:val="center"/>
            <w:hideMark/>
          </w:tcPr>
          <w:p w14:paraId="4107FA4D"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331</w:t>
            </w:r>
          </w:p>
        </w:tc>
        <w:tc>
          <w:tcPr>
            <w:tcW w:w="3116" w:type="dxa"/>
            <w:tcBorders>
              <w:top w:val="nil"/>
              <w:left w:val="nil"/>
              <w:bottom w:val="single" w:sz="8" w:space="0" w:color="FFFFFF"/>
              <w:right w:val="single" w:sz="8" w:space="0" w:color="FFFFFF"/>
            </w:tcBorders>
            <w:shd w:val="clear" w:color="000000" w:fill="E7EEEF"/>
            <w:vAlign w:val="center"/>
            <w:hideMark/>
          </w:tcPr>
          <w:p w14:paraId="6A1A3D01"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2.53</w:t>
            </w:r>
          </w:p>
        </w:tc>
        <w:tc>
          <w:tcPr>
            <w:tcW w:w="2790" w:type="dxa"/>
            <w:tcBorders>
              <w:top w:val="nil"/>
              <w:left w:val="nil"/>
              <w:bottom w:val="single" w:sz="8" w:space="0" w:color="FFFFFF"/>
              <w:right w:val="single" w:sz="8" w:space="0" w:color="FFFFFF"/>
            </w:tcBorders>
            <w:shd w:val="clear" w:color="000000" w:fill="E7EEEF"/>
            <w:vAlign w:val="center"/>
            <w:hideMark/>
          </w:tcPr>
          <w:p w14:paraId="0BA331D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836</w:t>
            </w:r>
          </w:p>
        </w:tc>
      </w:tr>
      <w:tr w:rsidR="00897D79" w:rsidRPr="00604F21" w14:paraId="0292A017"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39C8DC21"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2015</w:t>
            </w:r>
          </w:p>
        </w:tc>
        <w:tc>
          <w:tcPr>
            <w:tcW w:w="2600" w:type="dxa"/>
            <w:tcBorders>
              <w:top w:val="nil"/>
              <w:left w:val="nil"/>
              <w:bottom w:val="single" w:sz="8" w:space="0" w:color="FFFFFF"/>
              <w:right w:val="single" w:sz="8" w:space="0" w:color="FFFFFF"/>
            </w:tcBorders>
            <w:shd w:val="clear" w:color="000000" w:fill="D0CECE"/>
            <w:vAlign w:val="center"/>
            <w:hideMark/>
          </w:tcPr>
          <w:p w14:paraId="69B1B0E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375</w:t>
            </w:r>
          </w:p>
        </w:tc>
        <w:tc>
          <w:tcPr>
            <w:tcW w:w="3116" w:type="dxa"/>
            <w:tcBorders>
              <w:top w:val="nil"/>
              <w:left w:val="nil"/>
              <w:bottom w:val="single" w:sz="8" w:space="0" w:color="FFFFFF"/>
              <w:right w:val="single" w:sz="8" w:space="0" w:color="FFFFFF"/>
            </w:tcBorders>
            <w:shd w:val="clear" w:color="000000" w:fill="D0CECE"/>
            <w:vAlign w:val="center"/>
            <w:hideMark/>
          </w:tcPr>
          <w:p w14:paraId="60DD9D95"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2.52</w:t>
            </w:r>
          </w:p>
        </w:tc>
        <w:tc>
          <w:tcPr>
            <w:tcW w:w="2790" w:type="dxa"/>
            <w:tcBorders>
              <w:top w:val="nil"/>
              <w:left w:val="nil"/>
              <w:bottom w:val="single" w:sz="8" w:space="0" w:color="FFFFFF"/>
              <w:right w:val="single" w:sz="8" w:space="0" w:color="FFFFFF"/>
            </w:tcBorders>
            <w:shd w:val="clear" w:color="000000" w:fill="D0CECE"/>
            <w:vAlign w:val="center"/>
            <w:hideMark/>
          </w:tcPr>
          <w:p w14:paraId="30F35863"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943</w:t>
            </w:r>
          </w:p>
        </w:tc>
      </w:tr>
      <w:tr w:rsidR="00897D79" w:rsidRPr="00604F21" w14:paraId="6BACA7C9"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4E1448D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2016</w:t>
            </w:r>
          </w:p>
        </w:tc>
        <w:tc>
          <w:tcPr>
            <w:tcW w:w="2600" w:type="dxa"/>
            <w:tcBorders>
              <w:top w:val="nil"/>
              <w:left w:val="nil"/>
              <w:bottom w:val="single" w:sz="8" w:space="0" w:color="FFFFFF"/>
              <w:right w:val="single" w:sz="8" w:space="0" w:color="FFFFFF"/>
            </w:tcBorders>
            <w:shd w:val="clear" w:color="000000" w:fill="E7EEEF"/>
            <w:vAlign w:val="center"/>
            <w:hideMark/>
          </w:tcPr>
          <w:p w14:paraId="7B3AC8E0"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416</w:t>
            </w:r>
          </w:p>
        </w:tc>
        <w:tc>
          <w:tcPr>
            <w:tcW w:w="3116" w:type="dxa"/>
            <w:tcBorders>
              <w:top w:val="nil"/>
              <w:left w:val="nil"/>
              <w:bottom w:val="single" w:sz="8" w:space="0" w:color="FFFFFF"/>
              <w:right w:val="single" w:sz="8" w:space="0" w:color="FFFFFF"/>
            </w:tcBorders>
            <w:shd w:val="clear" w:color="000000" w:fill="E7EEEF"/>
            <w:vAlign w:val="center"/>
            <w:hideMark/>
          </w:tcPr>
          <w:p w14:paraId="193944BF"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2.52</w:t>
            </w:r>
          </w:p>
        </w:tc>
        <w:tc>
          <w:tcPr>
            <w:tcW w:w="2790" w:type="dxa"/>
            <w:tcBorders>
              <w:top w:val="nil"/>
              <w:left w:val="nil"/>
              <w:bottom w:val="single" w:sz="8" w:space="0" w:color="FFFFFF"/>
              <w:right w:val="single" w:sz="8" w:space="0" w:color="FFFFFF"/>
            </w:tcBorders>
            <w:shd w:val="clear" w:color="000000" w:fill="E7EEEF"/>
            <w:vAlign w:val="center"/>
            <w:hideMark/>
          </w:tcPr>
          <w:p w14:paraId="450F012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1,050</w:t>
            </w:r>
          </w:p>
        </w:tc>
      </w:tr>
      <w:tr w:rsidR="00897D79" w:rsidRPr="00604F21" w14:paraId="45D2884B" w14:textId="77777777" w:rsidTr="00963862">
        <w:trPr>
          <w:trHeight w:val="353"/>
        </w:trPr>
        <w:tc>
          <w:tcPr>
            <w:tcW w:w="866" w:type="dxa"/>
            <w:tcBorders>
              <w:top w:val="nil"/>
              <w:left w:val="single" w:sz="8" w:space="0" w:color="FFFFFF"/>
              <w:bottom w:val="single" w:sz="8" w:space="0" w:color="FFFFFF"/>
              <w:right w:val="single" w:sz="8" w:space="0" w:color="FFFFFF"/>
            </w:tcBorders>
            <w:shd w:val="clear" w:color="000000" w:fill="008C9B"/>
            <w:vAlign w:val="center"/>
            <w:hideMark/>
          </w:tcPr>
          <w:p w14:paraId="59ADA9B4" w14:textId="77777777" w:rsidR="00897D79" w:rsidRPr="00604F21" w:rsidRDefault="00897D79" w:rsidP="00916197">
            <w:pPr>
              <w:spacing w:after="0"/>
              <w:rPr>
                <w:rFonts w:ascii="Calibri" w:eastAsia="Times New Roman" w:hAnsi="Calibri"/>
                <w:color w:val="FFFFFF"/>
                <w:sz w:val="20"/>
                <w:lang w:eastAsia="en-GB"/>
              </w:rPr>
            </w:pPr>
            <w:r w:rsidRPr="00604F21">
              <w:rPr>
                <w:rFonts w:ascii="Calibri" w:eastAsia="Times New Roman" w:hAnsi="Calibri"/>
                <w:color w:val="FFFFFF"/>
                <w:sz w:val="20"/>
                <w:lang w:eastAsia="en-GB"/>
              </w:rPr>
              <w:t>2017</w:t>
            </w:r>
          </w:p>
        </w:tc>
        <w:tc>
          <w:tcPr>
            <w:tcW w:w="2600" w:type="dxa"/>
            <w:tcBorders>
              <w:top w:val="nil"/>
              <w:left w:val="nil"/>
              <w:bottom w:val="single" w:sz="8" w:space="0" w:color="FFFFFF"/>
              <w:right w:val="single" w:sz="8" w:space="0" w:color="FFFFFF"/>
            </w:tcBorders>
            <w:shd w:val="clear" w:color="000000" w:fill="D0CECE"/>
            <w:vAlign w:val="center"/>
            <w:hideMark/>
          </w:tcPr>
          <w:p w14:paraId="7654369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256</w:t>
            </w:r>
          </w:p>
        </w:tc>
        <w:tc>
          <w:tcPr>
            <w:tcW w:w="3116" w:type="dxa"/>
            <w:tcBorders>
              <w:top w:val="nil"/>
              <w:left w:val="nil"/>
              <w:bottom w:val="single" w:sz="8" w:space="0" w:color="FFFFFF"/>
              <w:right w:val="single" w:sz="8" w:space="0" w:color="FFFFFF"/>
            </w:tcBorders>
            <w:shd w:val="clear" w:color="000000" w:fill="D0CECE"/>
            <w:vAlign w:val="center"/>
            <w:hideMark/>
          </w:tcPr>
          <w:p w14:paraId="17BEC3F4"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2.50</w:t>
            </w:r>
          </w:p>
        </w:tc>
        <w:tc>
          <w:tcPr>
            <w:tcW w:w="2790" w:type="dxa"/>
            <w:tcBorders>
              <w:top w:val="nil"/>
              <w:left w:val="nil"/>
              <w:bottom w:val="single" w:sz="8" w:space="0" w:color="FFFFFF"/>
              <w:right w:val="single" w:sz="8" w:space="0" w:color="FFFFFF"/>
            </w:tcBorders>
            <w:shd w:val="clear" w:color="000000" w:fill="D0CECE"/>
            <w:vAlign w:val="center"/>
            <w:hideMark/>
          </w:tcPr>
          <w:p w14:paraId="0C70289B" w14:textId="77777777" w:rsidR="00897D79" w:rsidRPr="00604F21" w:rsidRDefault="00897D79" w:rsidP="00916197">
            <w:pPr>
              <w:spacing w:after="0"/>
              <w:jc w:val="center"/>
              <w:rPr>
                <w:rFonts w:ascii="Calibri" w:eastAsia="Times New Roman" w:hAnsi="Calibri"/>
                <w:color w:val="000000"/>
                <w:sz w:val="20"/>
                <w:lang w:eastAsia="en-GB"/>
              </w:rPr>
            </w:pPr>
            <w:r w:rsidRPr="00604F21">
              <w:rPr>
                <w:rFonts w:ascii="Calibri" w:eastAsia="Times New Roman" w:hAnsi="Calibri"/>
                <w:color w:val="000000"/>
                <w:sz w:val="20"/>
                <w:lang w:eastAsia="en-GB"/>
              </w:rPr>
              <w:t>638</w:t>
            </w:r>
          </w:p>
        </w:tc>
      </w:tr>
    </w:tbl>
    <w:p w14:paraId="38C371C0" w14:textId="77777777" w:rsidR="00897D79" w:rsidRDefault="00897D79" w:rsidP="00897D79">
      <w:pPr>
        <w:jc w:val="right"/>
        <w:rPr>
          <w:rFonts w:ascii="Calibri" w:eastAsia="Microsoft JhengHei" w:hAnsi="Calibri"/>
          <w:szCs w:val="22"/>
        </w:rPr>
      </w:pPr>
      <w:r w:rsidRPr="00C81A27">
        <w:rPr>
          <w:rStyle w:val="SubtleEmphasis"/>
          <w:color w:val="auto"/>
          <w:sz w:val="18"/>
        </w:rPr>
        <w:t>Source: ONS, FAME, Cebr analysis</w:t>
      </w:r>
    </w:p>
    <w:p w14:paraId="3CEF97AF" w14:textId="77777777" w:rsidR="00897D79" w:rsidRDefault="00897D79" w:rsidP="00897D79">
      <w:pPr>
        <w:pStyle w:val="Heading2"/>
      </w:pPr>
      <w:bookmarkStart w:id="76" w:name="_Toc488396661"/>
      <w:bookmarkStart w:id="77" w:name="_Toc18076348"/>
      <w:r>
        <w:t>The wider economic impacts through employment</w:t>
      </w:r>
      <w:bookmarkEnd w:id="76"/>
      <w:bookmarkEnd w:id="77"/>
    </w:p>
    <w:p w14:paraId="4E9AF29C" w14:textId="5D7259F2" w:rsidR="00897D79" w:rsidRDefault="00897D79" w:rsidP="00897D79">
      <w:pPr>
        <w:spacing w:after="120"/>
      </w:pPr>
      <w:r>
        <w:t xml:space="preserve">This subsection sets out the wider economic impact that the </w:t>
      </w:r>
      <w:r w:rsidR="00654BBE">
        <w:t>Maritime Sector</w:t>
      </w:r>
      <w:r>
        <w:t xml:space="preserve"> in Wales makes through employment. </w:t>
      </w:r>
      <w:r>
        <w:fldChar w:fldCharType="begin"/>
      </w:r>
      <w:r>
        <w:instrText xml:space="preserve"> REF _Ref490230094 \h </w:instrText>
      </w:r>
      <w:r>
        <w:fldChar w:fldCharType="separate"/>
      </w:r>
      <w:r w:rsidR="00963862">
        <w:t xml:space="preserve">Figure </w:t>
      </w:r>
      <w:r w:rsidR="00963862">
        <w:rPr>
          <w:noProof/>
        </w:rPr>
        <w:t>18</w:t>
      </w:r>
      <w:r>
        <w:fldChar w:fldCharType="end"/>
      </w:r>
      <w:r>
        <w:t xml:space="preserve"> below illustrates the employment multipliers for the </w:t>
      </w:r>
      <w:r w:rsidR="00654BBE">
        <w:t>Maritime Sector</w:t>
      </w:r>
      <w:r>
        <w:t xml:space="preserve"> in Wale</w:t>
      </w:r>
      <w:r w:rsidR="00B60125">
        <w:t xml:space="preserve">s. The number of jobs directly contributed </w:t>
      </w:r>
      <w:r>
        <w:t xml:space="preserve">by the Welsh </w:t>
      </w:r>
      <w:r w:rsidR="00654BBE">
        <w:t>Maritime Sector</w:t>
      </w:r>
      <w:r>
        <w:t xml:space="preserve"> was 4,100 in 2017, while 15,900 jobs were supported once the indirect and induced impacts of the industry are taken into account. The aggregate employment impact supported by the Welsh </w:t>
      </w:r>
      <w:r w:rsidR="00654BBE">
        <w:t>Maritime Sector</w:t>
      </w:r>
      <w:r>
        <w:t xml:space="preserve"> was 20,000 jobs in 2017. </w:t>
      </w:r>
    </w:p>
    <w:p w14:paraId="295A22F0" w14:textId="77D4C765" w:rsidR="00897D79" w:rsidRPr="00E63C7F" w:rsidRDefault="00897D79" w:rsidP="00897D79">
      <w:pPr>
        <w:spacing w:after="120"/>
        <w:rPr>
          <w:b/>
        </w:rPr>
      </w:pPr>
      <w:r w:rsidRPr="00037501">
        <w:rPr>
          <w:b/>
        </w:rPr>
        <w:t>Combining each Maritime industry</w:t>
      </w:r>
      <w:r>
        <w:rPr>
          <w:b/>
        </w:rPr>
        <w:t>,</w:t>
      </w:r>
      <w:r w:rsidRPr="00C65850">
        <w:rPr>
          <w:b/>
        </w:rPr>
        <w:t xml:space="preserve"> for every </w:t>
      </w:r>
      <w:r>
        <w:rPr>
          <w:b/>
        </w:rPr>
        <w:t>1 job</w:t>
      </w:r>
      <w:r w:rsidRPr="00C65850">
        <w:rPr>
          <w:b/>
        </w:rPr>
        <w:t xml:space="preserve"> initially </w:t>
      </w:r>
      <w:r w:rsidR="00B60125">
        <w:rPr>
          <w:b/>
        </w:rPr>
        <w:t>contributed</w:t>
      </w:r>
      <w:r w:rsidR="000032D9">
        <w:rPr>
          <w:b/>
        </w:rPr>
        <w:t xml:space="preserve"> </w:t>
      </w:r>
      <w:r w:rsidRPr="00C65850">
        <w:rPr>
          <w:b/>
        </w:rPr>
        <w:t xml:space="preserve">by the </w:t>
      </w:r>
      <w:r w:rsidR="00654BBE">
        <w:rPr>
          <w:b/>
        </w:rPr>
        <w:t>Maritime Sector</w:t>
      </w:r>
      <w:r w:rsidR="000032D9">
        <w:rPr>
          <w:b/>
        </w:rPr>
        <w:t xml:space="preserve"> in Wales in 2017</w:t>
      </w:r>
      <w:r>
        <w:rPr>
          <w:b/>
        </w:rPr>
        <w:t>, a total of 4.90 jobs were therefore supported in the wider Welsh and UK economies.</w:t>
      </w:r>
      <w:r w:rsidRPr="00C65850">
        <w:rPr>
          <w:b/>
        </w:rPr>
        <w:t xml:space="preserve"> </w:t>
      </w:r>
    </w:p>
    <w:p w14:paraId="01FB29FB" w14:textId="4FB0E402" w:rsidR="00897D79" w:rsidRDefault="00897D79" w:rsidP="00897D79">
      <w:pPr>
        <w:pStyle w:val="Caption"/>
        <w:keepNext/>
      </w:pPr>
      <w:bookmarkStart w:id="78" w:name="_Ref490230094"/>
      <w:r>
        <w:t xml:space="preserve">Figure </w:t>
      </w:r>
      <w:r>
        <w:rPr>
          <w:noProof/>
        </w:rPr>
        <w:fldChar w:fldCharType="begin"/>
      </w:r>
      <w:r>
        <w:rPr>
          <w:noProof/>
        </w:rPr>
        <w:instrText xml:space="preserve"> SEQ Figure \* ARABIC </w:instrText>
      </w:r>
      <w:r>
        <w:rPr>
          <w:noProof/>
        </w:rPr>
        <w:fldChar w:fldCharType="separate"/>
      </w:r>
      <w:r w:rsidR="00963862">
        <w:rPr>
          <w:noProof/>
        </w:rPr>
        <w:t>18</w:t>
      </w:r>
      <w:r>
        <w:rPr>
          <w:noProof/>
        </w:rPr>
        <w:fldChar w:fldCharType="end"/>
      </w:r>
      <w:bookmarkEnd w:id="78"/>
      <w:r>
        <w:t xml:space="preserve">: </w:t>
      </w:r>
      <w:r w:rsidRPr="00C35350">
        <w:t>Employment multiplier impacts of th</w:t>
      </w:r>
      <w:r w:rsidR="00B60125">
        <w:t xml:space="preserve">e </w:t>
      </w:r>
      <w:r w:rsidR="00654BBE">
        <w:t>Maritime Sector</w:t>
      </w:r>
      <w:r>
        <w:t xml:space="preserve"> in Wales, 2017</w:t>
      </w:r>
    </w:p>
    <w:p w14:paraId="1B863F07" w14:textId="77777777" w:rsidR="00897D79" w:rsidRPr="00604F21" w:rsidRDefault="00897D79" w:rsidP="00897D79">
      <w:r w:rsidRPr="00604F21">
        <w:rPr>
          <w:noProof/>
          <w:lang w:eastAsia="en-GB"/>
        </w:rPr>
        <mc:AlternateContent>
          <mc:Choice Requires="wpg">
            <w:drawing>
              <wp:anchor distT="0" distB="0" distL="114300" distR="114300" simplePos="0" relativeHeight="251667456" behindDoc="0" locked="0" layoutInCell="1" allowOverlap="1" wp14:anchorId="37585C4F" wp14:editId="53DA1D36">
                <wp:simplePos x="0" y="0"/>
                <wp:positionH relativeFrom="column">
                  <wp:posOffset>0</wp:posOffset>
                </wp:positionH>
                <wp:positionV relativeFrom="paragraph">
                  <wp:posOffset>0</wp:posOffset>
                </wp:positionV>
                <wp:extent cx="5760000" cy="2142000"/>
                <wp:effectExtent l="0" t="0" r="0" b="0"/>
                <wp:wrapNone/>
                <wp:docPr id="42" name="Group 3"/>
                <wp:cNvGraphicFramePr/>
                <a:graphic xmlns:a="http://schemas.openxmlformats.org/drawingml/2006/main">
                  <a:graphicData uri="http://schemas.microsoft.com/office/word/2010/wordprocessingGroup">
                    <wpg:wgp>
                      <wpg:cNvGrpSpPr/>
                      <wpg:grpSpPr>
                        <a:xfrm>
                          <a:off x="0" y="0"/>
                          <a:ext cx="5760000" cy="2142000"/>
                          <a:chOff x="0" y="0"/>
                          <a:chExt cx="6508545" cy="1930620"/>
                        </a:xfrm>
                      </wpg:grpSpPr>
                      <wps:wsp>
                        <wps:cNvPr id="43" name="Down Arrow 43"/>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4" name="Down Arrow 44"/>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45" name="Rectangle 45"/>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09F7F45"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20,000 jobs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6" name="Rounded Rectangle 46"/>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2694094"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1FD2BB7D" w14:textId="77777777" w:rsidR="001E63EE" w:rsidRDefault="001E63EE" w:rsidP="00897D79">
                              <w:pPr>
                                <w:pStyle w:val="NormalWeb"/>
                                <w:spacing w:before="0" w:beforeAutospacing="0" w:after="0" w:afterAutospacing="0"/>
                                <w:jc w:val="center"/>
                              </w:pPr>
                            </w:p>
                            <w:p w14:paraId="3ADF2118"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32"/>
                                  <w:szCs w:val="32"/>
                                </w:rPr>
                                <w:t>4,100 jobs</w:t>
                              </w:r>
                            </w:p>
                          </w:txbxContent>
                        </wps:txbx>
                        <wps:bodyPr rtlCol="0" anchor="t" anchorCtr="0"/>
                      </wps:wsp>
                      <wps:wsp>
                        <wps:cNvPr id="47" name="Rounded Rectangle 47"/>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14598C5"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9,900 jobs</w:t>
                              </w:r>
                            </w:p>
                          </w:txbxContent>
                        </wps:txbx>
                        <wps:bodyPr rtlCol="0" anchor="t" anchorCtr="0"/>
                      </wps:wsp>
                      <wps:wsp>
                        <wps:cNvPr id="48" name="Rounded Rectangle 48"/>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05CB5BB"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6,000 jobs</w:t>
                              </w:r>
                            </w:p>
                          </w:txbxContent>
                        </wps:txbx>
                        <wps:bodyPr rtlCol="0" anchor="t" anchorCtr="0"/>
                      </wps:wsp>
                      <wps:wsp>
                        <wps:cNvPr id="49" name="Rectangle 49"/>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38FAC6"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585C4F" id="_x0000_s1042" style="position:absolute;margin-left:0;margin-top:0;width:453.55pt;height:168.65pt;z-index:251667456"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">
                <v:shape id="Down Arrow 43" o:spid="_x0000_s1043"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DrpDMEA&#10;AADbAAAADwAAAGRycy9kb3ducmV2LnhtbESPQWsCMRSE7wX/Q3iCt5q1Wq1bo2hB8Fr14u1187q7&#10;uO9l2aQa/30jCB6HmfmGWawiN+pCna+dGBgNM1AkhbO1lAaOh+3rBygfUCw2TsjAjTyslr2XBebW&#10;XeWbLvtQqgQRn6OBKoQ219oXFTH6oWtJkvfrOsaQZFdq2+E1wbnRb1k21Yy1pIUKW/qqqDjv/9iA&#10;zJmjnztqT/59U/PtJ27WM2MG/bj+BBUohmf40d5ZA5Mx3L+kH6C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A66QzBAAAA2wAAAA8AAAAAAAAAAAAAAAAAmAIAAGRycy9kb3du&#10;cmV2LnhtbFBLBQYAAAAABAAEAPUAAACGAwAAAAA=&#10;" adj="10800" fillcolor="#c4c4c6 [1302]" stroked="f" strokeweight="2pt"/>
                <v:shape id="Down Arrow 44" o:spid="_x0000_s1044"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9NxeMEA&#10;AADbAAAADwAAAGRycy9kb3ducmV2LnhtbESPS2vDMBCE74X8B7GB3mo5IU83SkgKhV7zuOS2tba2&#10;qXdlLDVR/n0VCOQ4zMw3zGoTuVUX6n3jxMAoy0GRlM42Uhk4HT/fFqB8QLHYOiEDN/KwWQ9eVlhY&#10;d5U9XQ6hUgkivkADdQhdobUva2L0metIkvfjesaQZF9p2+M1wbnV4zyfacZG0kKNHX3UVP4e/tiA&#10;LJmjXzrqzn66a/j2HXfbuTGvw7h9BxUohmf40f6yBiYTuH9JP0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TcXjBAAAA2wAAAA8AAAAAAAAAAAAAAAAAmAIAAGRycy9kb3du&#10;cmV2LnhtbFBLBQYAAAAABAAEAPUAAACGAwAAAAA=&#10;" adj="10800" fillcolor="#c4c4c6 [1302]" stroked="f" strokeweight="2pt"/>
                <v:rect id="Rectangle 45" o:spid="_x0000_s1045"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WbmFsEA&#10;AADbAAAADwAAAGRycy9kb3ducmV2LnhtbESPT4vCMBTE7wt+h/AEb2u6Ypela5RSEPRo/XN+NM+2&#10;bPJSmqjVT28EYY/DzPyGWawGa8SVet86VvA1TUAQV063XCs47NefPyB8QNZoHJOCO3lYLUcfC8y0&#10;u/GOrmWoRYSwz1BBE0KXSemrhiz6qeuIo3d2vcUQZV9L3eMtwq2RsyT5lhZbjgsNdlQ0VP2VF6sg&#10;ZdqmoXyY4pjn5wtWx+LkjVKT8ZD/ggg0hP/wu73RCuYpvL7EHyCXT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Vm5hbBAAAA2wAAAA8AAAAAAAAAAAAAAAAAmAIAAGRycy9kb3du&#10;cmV2LnhtbFBLBQYAAAAABAAEAPUAAACGAwAAAAA=&#10;" fillcolor="#6d6e71 [3206]" stroked="f" strokeweight="2pt">
                  <v:textbox>
                    <w:txbxContent>
                      <w:p w14:paraId="409F7F45" w14:textId="77777777"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20,000 jobs</w:t>
                        </w:r>
                      </w:p>
                    </w:txbxContent>
                  </v:textbox>
                </v:rect>
                <v:roundrect id="Rounded Rectangle 46" o:spid="_x0000_s1046"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qzA8MA&#10;AADbAAAADwAAAGRycy9kb3ducmV2LnhtbESPzWrDMBCE74W8g9hALiWRm5YQnCgmFEx6rdsH2Fob&#10;27G0Mpbinz59VSj0OMzMN8wxm6wRA/W+cazgaZOAIC6dbrhS8PmRr/cgfEDWaByTgpk8ZKfFwxFT&#10;7UZ+p6EIlYgQ9ikqqEPoUil9WZNFv3EdcfSurrcYouwrqXscI9wauU2SnbTYcFyosaPXmsq2uFsF&#10;35g/X2dz6Zqv4bF1ZtyPt7ZUarWczgcQgabwH/5rv2kFLzv4/RJ/gDz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aqzA8MAAADbAAAADwAAAAAAAAAAAAAAAACYAgAAZHJzL2Rv&#10;d25yZXYueG1sUEsFBgAAAAAEAAQA9QAAAIgDAAAAAA==&#10;" fillcolor="#008c9b [3204]" stroked="f" strokeweight="2pt">
                  <v:textbox>
                    <w:txbxContent>
                      <w:p w14:paraId="22694094"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1FD2BB7D" w14:textId="77777777" w:rsidR="001E63EE" w:rsidRDefault="001E63EE" w:rsidP="00897D79">
                        <w:pPr>
                          <w:pStyle w:val="NormalWeb"/>
                          <w:spacing w:before="0" w:beforeAutospacing="0" w:after="0" w:afterAutospacing="0"/>
                          <w:jc w:val="center"/>
                        </w:pPr>
                      </w:p>
                      <w:p w14:paraId="3ADF2118" w14:textId="77777777"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32"/>
                            <w:szCs w:val="32"/>
                          </w:rPr>
                          <w:t>4,100 jobs</w:t>
                        </w:r>
                      </w:p>
                    </w:txbxContent>
                  </v:textbox>
                </v:roundrect>
                <v:roundrect id="Rounded Rectangle 47" o:spid="_x0000_s1047"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bKysIA&#10;AADbAAAADwAAAGRycy9kb3ducmV2LnhtbESPW4vCMBSE3wX/QzgLvmm6Wrx0jSKywr4oeHs/NMe2&#10;bHNSk6zWf78RBB+HmfmGmS9bU4sbOV9ZVvA5SEAQ51ZXXCg4HTf9KQgfkDXWlknBgzwsF93OHDNt&#10;77yn2yEUIkLYZ6igDKHJpPR5SQb9wDbE0btYZzBE6QqpHd4j3NRymCRjabDiuFBiQ+uS8t/Dn1GQ&#10;NCvrd490NDp+n7fhmmpXzbRSvY929QUiUBve4Vf7RytIJ/D8En+AXPw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tsrKwgAAANsAAAAPAAAAAAAAAAAAAAAAAJgCAABkcnMvZG93&#10;bnJldi54bWxQSwUGAAAAAAQABAD1AAAAhwMAAAAA&#10;" fillcolor="#0070c0" stroked="f" strokeweight="2pt">
                  <v:textbox>
                    <w:txbxContent>
                      <w:p w14:paraId="714598C5" w14:textId="77777777"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9,900 jobs</w:t>
                        </w:r>
                      </w:p>
                    </w:txbxContent>
                  </v:textbox>
                </v:roundrect>
                <v:roundrect id="Rounded Rectangle 48" o:spid="_x0000_s1048"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ipF8EA&#10;AADbAAAADwAAAGRycy9kb3ducmV2LnhtbERPy4rCMBTdC/5DuAOzkTF1fCDVKCIIg260HffX5k5b&#10;bG5qk9Hq15uF4PJw3vNlaypxpcaVlhUM+hEI4szqknMFv+nmawrCeWSNlWVScCcHy0W3M8dY2xsf&#10;6Jr4XIQQdjEqKLyvYyldVpBB17c1ceD+bGPQB9jkUjd4C+Gmkt9RNJEGSw4NBda0Lig7J/9GQbmd&#10;2E1veElP0yPvE7kbPMbno1KfH+1qBsJT69/il/tHKxiFseFL+AFy8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GYqRfBAAAA2wAAAA8AAAAAAAAAAAAAAAAAmAIAAGRycy9kb3du&#10;cmV2LnhtbFBLBQYAAAAABAAEAPUAAACGAwAAAAA=&#10;" fillcolor="#7030a0" stroked="f" strokeweight="2pt">
                  <v:textbox>
                    <w:txbxContent>
                      <w:p w14:paraId="005CB5BB" w14:textId="77777777"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32"/>
                            <w:szCs w:val="32"/>
                          </w:rPr>
                          <w:t>6,000 jobs</w:t>
                        </w:r>
                      </w:p>
                    </w:txbxContent>
                  </v:textbox>
                </v:roundrect>
                <v:rect id="Rectangle 49" o:spid="_x0000_s1049"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CvsE8IA&#10;AADbAAAADwAAAGRycy9kb3ducmV2LnhtbESPzWrDMBCE74W+g9hAbo2cEpfEsRKModAe6yY5L9b6&#10;h0grYymx26evCoUeh5n5hsmPszXiTqPvHStYrxIQxLXTPbcKTp+vT1sQPiBrNI5JwRd5OB4eH3LM&#10;tJv4g+5VaEWEsM9QQRfCkEnp644s+pUbiKPXuNFiiHJspR5xinBr5HOSvEiLPceFDgcqO6qv1c0q&#10;SJne01B9m/JcFM0N63N58Uap5WIu9iACzeE//Nd+0wo2O/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kK+wTwgAAANsAAAAPAAAAAAAAAAAAAAAAAJgCAABkcnMvZG93&#10;bnJldi54bWxQSwUGAAAAAAQABAD1AAAAhwMAAAAA&#10;" fillcolor="#6d6e71 [3206]" stroked="f" strokeweight="2pt">
                  <v:textbox>
                    <w:txbxContent>
                      <w:p w14:paraId="4A38FAC6"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Employment</w:t>
                        </w:r>
                      </w:p>
                    </w:txbxContent>
                  </v:textbox>
                </v:rect>
              </v:group>
            </w:pict>
          </mc:Fallback>
        </mc:AlternateContent>
      </w:r>
    </w:p>
    <w:p w14:paraId="082CB5E8" w14:textId="77777777" w:rsidR="00897D79" w:rsidRDefault="00897D79" w:rsidP="00897D79">
      <w:pPr>
        <w:rPr>
          <w:rFonts w:ascii="Calibri" w:eastAsia="Microsoft JhengHei" w:hAnsi="Calibri"/>
          <w:szCs w:val="22"/>
        </w:rPr>
      </w:pPr>
    </w:p>
    <w:p w14:paraId="364B3EE7" w14:textId="77777777" w:rsidR="00897D79" w:rsidRDefault="00897D79" w:rsidP="00897D79">
      <w:pPr>
        <w:rPr>
          <w:rFonts w:ascii="Calibri" w:eastAsia="Microsoft JhengHei" w:hAnsi="Calibri"/>
          <w:szCs w:val="22"/>
        </w:rPr>
      </w:pPr>
    </w:p>
    <w:p w14:paraId="7FB8F18A" w14:textId="77777777" w:rsidR="00897D79" w:rsidRDefault="00897D79" w:rsidP="00897D79">
      <w:pPr>
        <w:rPr>
          <w:rFonts w:ascii="Calibri" w:eastAsia="Microsoft JhengHei" w:hAnsi="Calibri"/>
          <w:szCs w:val="22"/>
        </w:rPr>
      </w:pPr>
    </w:p>
    <w:p w14:paraId="7517423A" w14:textId="77777777" w:rsidR="00897D79" w:rsidRDefault="00897D79" w:rsidP="00897D79">
      <w:pPr>
        <w:rPr>
          <w:rFonts w:ascii="Calibri" w:eastAsia="Microsoft JhengHei" w:hAnsi="Calibri"/>
          <w:szCs w:val="22"/>
        </w:rPr>
      </w:pPr>
    </w:p>
    <w:p w14:paraId="18549818" w14:textId="77777777" w:rsidR="00897D79" w:rsidRDefault="00897D79" w:rsidP="00897D79">
      <w:pPr>
        <w:rPr>
          <w:rFonts w:ascii="Calibri" w:eastAsia="Microsoft JhengHei" w:hAnsi="Calibri"/>
          <w:szCs w:val="22"/>
        </w:rPr>
      </w:pPr>
    </w:p>
    <w:p w14:paraId="005B8F4A" w14:textId="77777777" w:rsidR="00897D79" w:rsidRDefault="00897D79" w:rsidP="00897D79">
      <w:pPr>
        <w:rPr>
          <w:rFonts w:ascii="Calibri" w:eastAsia="Microsoft JhengHei" w:hAnsi="Calibri"/>
          <w:szCs w:val="22"/>
        </w:rPr>
      </w:pPr>
    </w:p>
    <w:p w14:paraId="5394B0B2" w14:textId="77777777" w:rsidR="00897D79" w:rsidRPr="00C81A27" w:rsidRDefault="00897D79" w:rsidP="00897D79">
      <w:pPr>
        <w:rPr>
          <w:rFonts w:ascii="Calibri" w:eastAsia="Microsoft JhengHei" w:hAnsi="Calibri"/>
          <w:szCs w:val="22"/>
        </w:rPr>
      </w:pPr>
    </w:p>
    <w:p w14:paraId="0A4B79F4" w14:textId="77777777" w:rsidR="00897D79" w:rsidRPr="00C81A27" w:rsidRDefault="00897D79" w:rsidP="00897D79">
      <w:pPr>
        <w:spacing w:before="60" w:after="0"/>
        <w:jc w:val="right"/>
        <w:rPr>
          <w:rStyle w:val="SubtleEmphasis"/>
          <w:color w:val="auto"/>
          <w:sz w:val="18"/>
        </w:rPr>
      </w:pPr>
      <w:r w:rsidRPr="00C81A27">
        <w:rPr>
          <w:rStyle w:val="SubtleEmphasis"/>
          <w:color w:val="auto"/>
          <w:sz w:val="18"/>
        </w:rPr>
        <w:t>Source: ONS, FAME, Cebr analysis</w:t>
      </w:r>
    </w:p>
    <w:p w14:paraId="0C924CFA" w14:textId="77777777" w:rsidR="00897D79" w:rsidRDefault="00897D79" w:rsidP="00897D79">
      <w:pPr>
        <w:spacing w:before="60" w:after="0"/>
        <w:rPr>
          <w:rStyle w:val="SubtleEmphasis"/>
          <w:i w:val="0"/>
          <w:szCs w:val="22"/>
        </w:rPr>
      </w:pPr>
    </w:p>
    <w:p w14:paraId="639FC34C" w14:textId="18D72D03" w:rsidR="00897D79" w:rsidRDefault="00897D79" w:rsidP="00897D79">
      <w:pPr>
        <w:spacing w:before="60" w:after="0"/>
        <w:rPr>
          <w:rStyle w:val="SubtleEmphasis"/>
          <w:i w:val="0"/>
          <w:color w:val="auto"/>
          <w:szCs w:val="22"/>
        </w:rPr>
      </w:pPr>
      <w:r>
        <w:rPr>
          <w:rStyle w:val="SubtleEmphasis"/>
          <w:i w:val="0"/>
          <w:color w:val="auto"/>
          <w:szCs w:val="22"/>
        </w:rPr>
        <w:fldChar w:fldCharType="begin"/>
      </w:r>
      <w:r>
        <w:rPr>
          <w:rStyle w:val="SubtleEmphasis"/>
          <w:i w:val="0"/>
          <w:color w:val="auto"/>
          <w:szCs w:val="22"/>
        </w:rPr>
        <w:instrText xml:space="preserve"> REF _Ref490057633 \h </w:instrText>
      </w:r>
      <w:r>
        <w:rPr>
          <w:rStyle w:val="SubtleEmphasis"/>
          <w:i w:val="0"/>
          <w:color w:val="auto"/>
          <w:szCs w:val="22"/>
        </w:rPr>
      </w:r>
      <w:r>
        <w:rPr>
          <w:rStyle w:val="SubtleEmphasis"/>
          <w:i w:val="0"/>
          <w:color w:val="auto"/>
          <w:szCs w:val="22"/>
        </w:rPr>
        <w:fldChar w:fldCharType="separate"/>
      </w:r>
      <w:r w:rsidR="00963862">
        <w:t xml:space="preserve">Table </w:t>
      </w:r>
      <w:r w:rsidR="00963862">
        <w:rPr>
          <w:noProof/>
        </w:rPr>
        <w:t>14</w:t>
      </w:r>
      <w:r>
        <w:rPr>
          <w:rStyle w:val="SubtleEmphasis"/>
          <w:i w:val="0"/>
          <w:color w:val="auto"/>
          <w:szCs w:val="22"/>
        </w:rPr>
        <w:fldChar w:fldCharType="end"/>
      </w:r>
      <w:r>
        <w:rPr>
          <w:rStyle w:val="SubtleEmphasis"/>
          <w:i w:val="0"/>
          <w:color w:val="auto"/>
          <w:szCs w:val="22"/>
        </w:rPr>
        <w:t xml:space="preserve"> below shows the estimated employment impacts from the Welsh Maritime industries taken in isolation. The shipping industry accounts for the largest direct impact of employment in 2017, contributing with 1,380 jobs to the Welsh </w:t>
      </w:r>
      <w:r w:rsidR="00654BBE">
        <w:rPr>
          <w:rStyle w:val="SubtleEmphasis"/>
          <w:i w:val="0"/>
          <w:color w:val="auto"/>
          <w:szCs w:val="22"/>
        </w:rPr>
        <w:t>Maritime Sector</w:t>
      </w:r>
      <w:r>
        <w:rPr>
          <w:rStyle w:val="SubtleEmphasis"/>
          <w:i w:val="0"/>
          <w:color w:val="auto"/>
          <w:szCs w:val="22"/>
        </w:rPr>
        <w:t xml:space="preserve">. This is followed by the marine engineering and scientific industry contributing 1,200 jobs to the sector. Combined these two industries contribute 63% of the direct employment to the </w:t>
      </w:r>
      <w:r w:rsidR="00654BBE">
        <w:rPr>
          <w:rStyle w:val="SubtleEmphasis"/>
          <w:i w:val="0"/>
          <w:color w:val="auto"/>
          <w:szCs w:val="22"/>
        </w:rPr>
        <w:t>Maritime Sector</w:t>
      </w:r>
      <w:r>
        <w:rPr>
          <w:rStyle w:val="SubtleEmphasis"/>
          <w:i w:val="0"/>
          <w:color w:val="auto"/>
          <w:szCs w:val="22"/>
        </w:rPr>
        <w:t xml:space="preserve"> in Wales in 2017. The biggest aggregate impact can be attributed to shipping, where the aggregate impact represents 74% of the total aggregate impact </w:t>
      </w:r>
      <w:r>
        <w:rPr>
          <w:rStyle w:val="SubtleEmphasis"/>
          <w:i w:val="0"/>
          <w:color w:val="auto"/>
          <w:szCs w:val="22"/>
        </w:rPr>
        <w:lastRenderedPageBreak/>
        <w:t xml:space="preserve">of the total sector. </w:t>
      </w:r>
      <w:r w:rsidR="00B60125">
        <w:rPr>
          <w:rStyle w:val="SubtleEmphasis"/>
          <w:i w:val="0"/>
          <w:color w:val="auto"/>
          <w:szCs w:val="22"/>
        </w:rPr>
        <w:t xml:space="preserve">The large aggregate impact of the shipping industry </w:t>
      </w:r>
      <w:r>
        <w:rPr>
          <w:rStyle w:val="SubtleEmphasis"/>
          <w:i w:val="0"/>
          <w:color w:val="auto"/>
          <w:szCs w:val="22"/>
        </w:rPr>
        <w:t xml:space="preserve">can be explained by the large multipliers associated with the shipping industry. </w:t>
      </w:r>
    </w:p>
    <w:p w14:paraId="03142875" w14:textId="77777777" w:rsidR="00897D79" w:rsidRDefault="00897D79" w:rsidP="00897D79">
      <w:pPr>
        <w:spacing w:before="60" w:after="0"/>
        <w:rPr>
          <w:rFonts w:ascii="Arial" w:hAnsi="Arial"/>
          <w:sz w:val="20"/>
        </w:rPr>
      </w:pPr>
    </w:p>
    <w:p w14:paraId="3760CEEC" w14:textId="13125E70" w:rsidR="00897D79" w:rsidRDefault="00897D79" w:rsidP="00897D79">
      <w:pPr>
        <w:pStyle w:val="Caption"/>
        <w:keepNext/>
      </w:pPr>
      <w:bookmarkStart w:id="79" w:name="_Ref490057633"/>
      <w:r>
        <w:t xml:space="preserve">Table </w:t>
      </w:r>
      <w:r>
        <w:rPr>
          <w:noProof/>
        </w:rPr>
        <w:fldChar w:fldCharType="begin"/>
      </w:r>
      <w:r>
        <w:rPr>
          <w:noProof/>
        </w:rPr>
        <w:instrText xml:space="preserve"> SEQ Table \* ARABIC </w:instrText>
      </w:r>
      <w:r>
        <w:rPr>
          <w:noProof/>
        </w:rPr>
        <w:fldChar w:fldCharType="separate"/>
      </w:r>
      <w:r w:rsidR="00963862">
        <w:rPr>
          <w:noProof/>
        </w:rPr>
        <w:t>14</w:t>
      </w:r>
      <w:r>
        <w:rPr>
          <w:noProof/>
        </w:rPr>
        <w:fldChar w:fldCharType="end"/>
      </w:r>
      <w:bookmarkEnd w:id="79"/>
      <w:r>
        <w:t>: Employment impact by each Maritim</w:t>
      </w:r>
      <w:r w:rsidR="00CD65E7">
        <w:t xml:space="preserve">e industry in Wales, </w:t>
      </w:r>
      <w:r w:rsidR="00610DA5">
        <w:t>2017</w:t>
      </w:r>
    </w:p>
    <w:tbl>
      <w:tblPr>
        <w:tblW w:w="9405" w:type="dxa"/>
        <w:tblLook w:val="04A0" w:firstRow="1" w:lastRow="0" w:firstColumn="1" w:lastColumn="0" w:noHBand="0" w:noVBand="1"/>
      </w:tblPr>
      <w:tblGrid>
        <w:gridCol w:w="3764"/>
        <w:gridCol w:w="1375"/>
        <w:gridCol w:w="1422"/>
        <w:gridCol w:w="1422"/>
        <w:gridCol w:w="1422"/>
      </w:tblGrid>
      <w:tr w:rsidR="00897D79" w:rsidRPr="00536134" w14:paraId="2DA0F897" w14:textId="77777777" w:rsidTr="00963862">
        <w:trPr>
          <w:trHeight w:val="676"/>
        </w:trPr>
        <w:tc>
          <w:tcPr>
            <w:tcW w:w="3764" w:type="dxa"/>
            <w:tcBorders>
              <w:top w:val="single" w:sz="8" w:space="0" w:color="FFFFFF"/>
              <w:left w:val="nil"/>
              <w:bottom w:val="single" w:sz="12" w:space="0" w:color="FFFFFF"/>
              <w:right w:val="single" w:sz="8" w:space="0" w:color="FFFFFF"/>
            </w:tcBorders>
            <w:shd w:val="clear" w:color="000000" w:fill="008C9B"/>
            <w:vAlign w:val="center"/>
            <w:hideMark/>
          </w:tcPr>
          <w:p w14:paraId="17EEF2FB" w14:textId="77777777" w:rsidR="00897D79" w:rsidRPr="00536134" w:rsidRDefault="00897D79" w:rsidP="00916197">
            <w:pPr>
              <w:spacing w:after="0"/>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Employment in 2017</w:t>
            </w:r>
          </w:p>
        </w:tc>
        <w:tc>
          <w:tcPr>
            <w:tcW w:w="1375" w:type="dxa"/>
            <w:tcBorders>
              <w:top w:val="single" w:sz="8" w:space="0" w:color="FFFFFF"/>
              <w:left w:val="nil"/>
              <w:bottom w:val="single" w:sz="12" w:space="0" w:color="FFFFFF"/>
              <w:right w:val="single" w:sz="8" w:space="0" w:color="FFFFFF"/>
            </w:tcBorders>
            <w:shd w:val="clear" w:color="000000" w:fill="008C9B"/>
            <w:vAlign w:val="center"/>
            <w:hideMark/>
          </w:tcPr>
          <w:p w14:paraId="44EC36FD"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Direct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35065D68"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Indirect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503A1BEC"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Induced Impact</w:t>
            </w:r>
          </w:p>
        </w:tc>
        <w:tc>
          <w:tcPr>
            <w:tcW w:w="1422" w:type="dxa"/>
            <w:tcBorders>
              <w:top w:val="single" w:sz="8" w:space="0" w:color="FFFFFF"/>
              <w:left w:val="nil"/>
              <w:bottom w:val="single" w:sz="12" w:space="0" w:color="FFFFFF"/>
              <w:right w:val="single" w:sz="8" w:space="0" w:color="FFFFFF"/>
            </w:tcBorders>
            <w:shd w:val="clear" w:color="000000" w:fill="008C9B"/>
            <w:vAlign w:val="center"/>
            <w:hideMark/>
          </w:tcPr>
          <w:p w14:paraId="604E0EF7" w14:textId="77777777" w:rsidR="00897D79" w:rsidRPr="00536134" w:rsidRDefault="00897D79" w:rsidP="00916197">
            <w:pPr>
              <w:spacing w:after="0"/>
              <w:jc w:val="center"/>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Aggregate Impact</w:t>
            </w:r>
          </w:p>
        </w:tc>
      </w:tr>
      <w:tr w:rsidR="00897D79" w:rsidRPr="00536134" w14:paraId="6E03059C" w14:textId="77777777" w:rsidTr="00963862">
        <w:trPr>
          <w:trHeight w:val="423"/>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136D910D" w14:textId="77777777" w:rsidR="00897D79" w:rsidRPr="00536134" w:rsidRDefault="00897D79" w:rsidP="00916197">
            <w:pPr>
              <w:spacing w:after="0"/>
              <w:rPr>
                <w:rFonts w:ascii="Calibri" w:eastAsia="Times New Roman" w:hAnsi="Calibri"/>
                <w:b/>
                <w:bCs/>
                <w:color w:val="FFFFFF"/>
                <w:sz w:val="20"/>
                <w:lang w:eastAsia="en-GB"/>
              </w:rPr>
            </w:pPr>
            <w:r w:rsidRPr="00536134">
              <w:rPr>
                <w:rFonts w:ascii="Calibri" w:eastAsia="Times New Roman" w:hAnsi="Calibri"/>
                <w:b/>
                <w:bCs/>
                <w:color w:val="FFFFFF"/>
                <w:sz w:val="20"/>
                <w:lang w:eastAsia="en-GB"/>
              </w:rPr>
              <w:t>TOTAL</w:t>
            </w:r>
          </w:p>
        </w:tc>
        <w:tc>
          <w:tcPr>
            <w:tcW w:w="1375" w:type="dxa"/>
            <w:tcBorders>
              <w:top w:val="nil"/>
              <w:left w:val="nil"/>
              <w:bottom w:val="single" w:sz="8" w:space="0" w:color="FFFFFF"/>
              <w:right w:val="single" w:sz="8" w:space="0" w:color="FFFFFF"/>
            </w:tcBorders>
            <w:shd w:val="clear" w:color="000000" w:fill="E7EEEF"/>
            <w:vAlign w:val="center"/>
            <w:hideMark/>
          </w:tcPr>
          <w:p w14:paraId="6D624B2E"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4,067</w:t>
            </w:r>
          </w:p>
        </w:tc>
        <w:tc>
          <w:tcPr>
            <w:tcW w:w="1422" w:type="dxa"/>
            <w:tcBorders>
              <w:top w:val="nil"/>
              <w:left w:val="nil"/>
              <w:bottom w:val="single" w:sz="8" w:space="0" w:color="FFFFFF"/>
              <w:right w:val="single" w:sz="8" w:space="0" w:color="FFFFFF"/>
            </w:tcBorders>
            <w:shd w:val="clear" w:color="000000" w:fill="E7EEEF"/>
            <w:vAlign w:val="center"/>
            <w:hideMark/>
          </w:tcPr>
          <w:p w14:paraId="6EEB0B0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9,870</w:t>
            </w:r>
          </w:p>
        </w:tc>
        <w:tc>
          <w:tcPr>
            <w:tcW w:w="1422" w:type="dxa"/>
            <w:tcBorders>
              <w:top w:val="nil"/>
              <w:left w:val="nil"/>
              <w:bottom w:val="single" w:sz="8" w:space="0" w:color="FFFFFF"/>
              <w:right w:val="single" w:sz="8" w:space="0" w:color="FFFFFF"/>
            </w:tcBorders>
            <w:shd w:val="clear" w:color="000000" w:fill="E7EEEF"/>
            <w:vAlign w:val="center"/>
            <w:hideMark/>
          </w:tcPr>
          <w:p w14:paraId="4A1344B1"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5,980</w:t>
            </w:r>
          </w:p>
        </w:tc>
        <w:tc>
          <w:tcPr>
            <w:tcW w:w="1422" w:type="dxa"/>
            <w:tcBorders>
              <w:top w:val="nil"/>
              <w:left w:val="nil"/>
              <w:bottom w:val="single" w:sz="8" w:space="0" w:color="FFFFFF"/>
              <w:right w:val="single" w:sz="8" w:space="0" w:color="FFFFFF"/>
            </w:tcBorders>
            <w:shd w:val="clear" w:color="000000" w:fill="E7EEEF"/>
            <w:vAlign w:val="center"/>
            <w:hideMark/>
          </w:tcPr>
          <w:p w14:paraId="603F0DD8"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19,917</w:t>
            </w:r>
          </w:p>
        </w:tc>
      </w:tr>
      <w:tr w:rsidR="00897D79" w:rsidRPr="00536134" w14:paraId="71D00A2F"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04FB3254"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Shipping</w:t>
            </w:r>
          </w:p>
        </w:tc>
        <w:tc>
          <w:tcPr>
            <w:tcW w:w="1375" w:type="dxa"/>
            <w:tcBorders>
              <w:top w:val="nil"/>
              <w:left w:val="nil"/>
              <w:bottom w:val="single" w:sz="8" w:space="0" w:color="FFFFFF"/>
              <w:right w:val="single" w:sz="8" w:space="0" w:color="FFFFFF"/>
            </w:tcBorders>
            <w:shd w:val="clear" w:color="000000" w:fill="D0CECE"/>
            <w:vAlign w:val="center"/>
            <w:hideMark/>
          </w:tcPr>
          <w:p w14:paraId="33C66F5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1,379</w:t>
            </w:r>
          </w:p>
        </w:tc>
        <w:tc>
          <w:tcPr>
            <w:tcW w:w="1422" w:type="dxa"/>
            <w:tcBorders>
              <w:top w:val="nil"/>
              <w:left w:val="nil"/>
              <w:bottom w:val="single" w:sz="8" w:space="0" w:color="FFFFFF"/>
              <w:right w:val="single" w:sz="8" w:space="0" w:color="FFFFFF"/>
            </w:tcBorders>
            <w:shd w:val="clear" w:color="000000" w:fill="D0CECE"/>
            <w:vAlign w:val="center"/>
            <w:hideMark/>
          </w:tcPr>
          <w:p w14:paraId="5EAA70F6"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8,324</w:t>
            </w:r>
          </w:p>
        </w:tc>
        <w:tc>
          <w:tcPr>
            <w:tcW w:w="1422" w:type="dxa"/>
            <w:tcBorders>
              <w:top w:val="nil"/>
              <w:left w:val="nil"/>
              <w:bottom w:val="single" w:sz="8" w:space="0" w:color="FFFFFF"/>
              <w:right w:val="single" w:sz="8" w:space="0" w:color="FFFFFF"/>
            </w:tcBorders>
            <w:shd w:val="clear" w:color="000000" w:fill="D0CECE"/>
            <w:vAlign w:val="center"/>
            <w:hideMark/>
          </w:tcPr>
          <w:p w14:paraId="4BBC8015"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4,999</w:t>
            </w:r>
          </w:p>
        </w:tc>
        <w:tc>
          <w:tcPr>
            <w:tcW w:w="1422" w:type="dxa"/>
            <w:tcBorders>
              <w:top w:val="nil"/>
              <w:left w:val="nil"/>
              <w:bottom w:val="single" w:sz="8" w:space="0" w:color="FFFFFF"/>
              <w:right w:val="single" w:sz="8" w:space="0" w:color="FFFFFF"/>
            </w:tcBorders>
            <w:shd w:val="clear" w:color="000000" w:fill="D0CECE"/>
            <w:vAlign w:val="center"/>
            <w:hideMark/>
          </w:tcPr>
          <w:p w14:paraId="198A82FE"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14,701</w:t>
            </w:r>
          </w:p>
        </w:tc>
      </w:tr>
      <w:tr w:rsidR="00897D79" w:rsidRPr="00536134" w14:paraId="6B8369A2"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5523AAF4"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Ports</w:t>
            </w:r>
          </w:p>
        </w:tc>
        <w:tc>
          <w:tcPr>
            <w:tcW w:w="1375" w:type="dxa"/>
            <w:tcBorders>
              <w:top w:val="nil"/>
              <w:left w:val="nil"/>
              <w:bottom w:val="single" w:sz="8" w:space="0" w:color="FFFFFF"/>
              <w:right w:val="single" w:sz="8" w:space="0" w:color="FFFFFF"/>
            </w:tcBorders>
            <w:shd w:val="clear" w:color="000000" w:fill="E7EEEF"/>
            <w:vAlign w:val="center"/>
            <w:hideMark/>
          </w:tcPr>
          <w:p w14:paraId="5462327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809</w:t>
            </w:r>
          </w:p>
        </w:tc>
        <w:tc>
          <w:tcPr>
            <w:tcW w:w="1422" w:type="dxa"/>
            <w:tcBorders>
              <w:top w:val="nil"/>
              <w:left w:val="nil"/>
              <w:bottom w:val="single" w:sz="8" w:space="0" w:color="FFFFFF"/>
              <w:right w:val="single" w:sz="8" w:space="0" w:color="FFFFFF"/>
            </w:tcBorders>
            <w:shd w:val="clear" w:color="000000" w:fill="E7EEEF"/>
            <w:vAlign w:val="center"/>
            <w:hideMark/>
          </w:tcPr>
          <w:p w14:paraId="56373202"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c>
          <w:tcPr>
            <w:tcW w:w="1422" w:type="dxa"/>
            <w:tcBorders>
              <w:top w:val="nil"/>
              <w:left w:val="nil"/>
              <w:bottom w:val="single" w:sz="8" w:space="0" w:color="FFFFFF"/>
              <w:right w:val="single" w:sz="8" w:space="0" w:color="FFFFFF"/>
            </w:tcBorders>
            <w:shd w:val="clear" w:color="000000" w:fill="E7EEEF"/>
            <w:vAlign w:val="center"/>
            <w:hideMark/>
          </w:tcPr>
          <w:p w14:paraId="1E865FB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365</w:t>
            </w:r>
          </w:p>
        </w:tc>
        <w:tc>
          <w:tcPr>
            <w:tcW w:w="1422" w:type="dxa"/>
            <w:tcBorders>
              <w:top w:val="nil"/>
              <w:left w:val="nil"/>
              <w:bottom w:val="single" w:sz="8" w:space="0" w:color="FFFFFF"/>
              <w:right w:val="single" w:sz="8" w:space="0" w:color="FFFFFF"/>
            </w:tcBorders>
            <w:shd w:val="clear" w:color="000000" w:fill="E7EEEF"/>
            <w:vAlign w:val="center"/>
            <w:hideMark/>
          </w:tcPr>
          <w:p w14:paraId="2412423A"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1,700</w:t>
            </w:r>
          </w:p>
        </w:tc>
      </w:tr>
      <w:tr w:rsidR="00897D79" w:rsidRPr="00536134" w14:paraId="4C78A963"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2B785F65"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Leisure Marine</w:t>
            </w:r>
          </w:p>
        </w:tc>
        <w:tc>
          <w:tcPr>
            <w:tcW w:w="1375" w:type="dxa"/>
            <w:tcBorders>
              <w:top w:val="nil"/>
              <w:left w:val="nil"/>
              <w:bottom w:val="single" w:sz="8" w:space="0" w:color="FFFFFF"/>
              <w:right w:val="single" w:sz="8" w:space="0" w:color="FFFFFF"/>
            </w:tcBorders>
            <w:shd w:val="clear" w:color="000000" w:fill="D0CECE"/>
            <w:vAlign w:val="center"/>
            <w:hideMark/>
          </w:tcPr>
          <w:p w14:paraId="43F05CC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c>
          <w:tcPr>
            <w:tcW w:w="1422" w:type="dxa"/>
            <w:tcBorders>
              <w:top w:val="nil"/>
              <w:left w:val="nil"/>
              <w:bottom w:val="single" w:sz="8" w:space="0" w:color="FFFFFF"/>
              <w:right w:val="single" w:sz="8" w:space="0" w:color="FFFFFF"/>
            </w:tcBorders>
            <w:shd w:val="clear" w:color="000000" w:fill="D0CECE"/>
            <w:vAlign w:val="center"/>
            <w:hideMark/>
          </w:tcPr>
          <w:p w14:paraId="77239215"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252</w:t>
            </w:r>
          </w:p>
        </w:tc>
        <w:tc>
          <w:tcPr>
            <w:tcW w:w="1422" w:type="dxa"/>
            <w:tcBorders>
              <w:top w:val="nil"/>
              <w:left w:val="nil"/>
              <w:bottom w:val="single" w:sz="8" w:space="0" w:color="FFFFFF"/>
              <w:right w:val="single" w:sz="8" w:space="0" w:color="FFFFFF"/>
            </w:tcBorders>
            <w:shd w:val="clear" w:color="000000" w:fill="D0CECE"/>
            <w:vAlign w:val="center"/>
            <w:hideMark/>
          </w:tcPr>
          <w:p w14:paraId="2AA82964"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191</w:t>
            </w:r>
          </w:p>
        </w:tc>
        <w:tc>
          <w:tcPr>
            <w:tcW w:w="1422" w:type="dxa"/>
            <w:tcBorders>
              <w:top w:val="nil"/>
              <w:left w:val="nil"/>
              <w:bottom w:val="single" w:sz="8" w:space="0" w:color="FFFFFF"/>
              <w:right w:val="single" w:sz="8" w:space="0" w:color="FFFFFF"/>
            </w:tcBorders>
            <w:shd w:val="clear" w:color="000000" w:fill="D0CECE"/>
            <w:vAlign w:val="center"/>
            <w:hideMark/>
          </w:tcPr>
          <w:p w14:paraId="10489B4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968</w:t>
            </w:r>
          </w:p>
        </w:tc>
      </w:tr>
      <w:tr w:rsidR="00897D79" w:rsidRPr="00536134" w14:paraId="32140BB2"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4C070B36"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Marine Engineering</w:t>
            </w:r>
          </w:p>
        </w:tc>
        <w:tc>
          <w:tcPr>
            <w:tcW w:w="1375" w:type="dxa"/>
            <w:tcBorders>
              <w:top w:val="nil"/>
              <w:left w:val="nil"/>
              <w:bottom w:val="single" w:sz="8" w:space="0" w:color="FFFFFF"/>
              <w:right w:val="single" w:sz="8" w:space="0" w:color="FFFFFF"/>
            </w:tcBorders>
            <w:shd w:val="clear" w:color="000000" w:fill="E7EEEF"/>
            <w:vAlign w:val="center"/>
            <w:hideMark/>
          </w:tcPr>
          <w:p w14:paraId="4546051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1,210</w:t>
            </w:r>
          </w:p>
        </w:tc>
        <w:tc>
          <w:tcPr>
            <w:tcW w:w="1422" w:type="dxa"/>
            <w:tcBorders>
              <w:top w:val="nil"/>
              <w:left w:val="nil"/>
              <w:bottom w:val="single" w:sz="8" w:space="0" w:color="FFFFFF"/>
              <w:right w:val="single" w:sz="8" w:space="0" w:color="FFFFFF"/>
            </w:tcBorders>
            <w:shd w:val="clear" w:color="000000" w:fill="E7EEEF"/>
            <w:vAlign w:val="center"/>
            <w:hideMark/>
          </w:tcPr>
          <w:p w14:paraId="2A3D069D"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494</w:t>
            </w:r>
          </w:p>
        </w:tc>
        <w:tc>
          <w:tcPr>
            <w:tcW w:w="1422" w:type="dxa"/>
            <w:tcBorders>
              <w:top w:val="nil"/>
              <w:left w:val="nil"/>
              <w:bottom w:val="single" w:sz="8" w:space="0" w:color="FFFFFF"/>
              <w:right w:val="single" w:sz="8" w:space="0" w:color="FFFFFF"/>
            </w:tcBorders>
            <w:shd w:val="clear" w:color="000000" w:fill="E7EEEF"/>
            <w:vAlign w:val="center"/>
            <w:hideMark/>
          </w:tcPr>
          <w:p w14:paraId="023379AC"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318</w:t>
            </w:r>
          </w:p>
        </w:tc>
        <w:tc>
          <w:tcPr>
            <w:tcW w:w="1422" w:type="dxa"/>
            <w:tcBorders>
              <w:top w:val="nil"/>
              <w:left w:val="nil"/>
              <w:bottom w:val="single" w:sz="8" w:space="0" w:color="FFFFFF"/>
              <w:right w:val="single" w:sz="8" w:space="0" w:color="FFFFFF"/>
            </w:tcBorders>
            <w:shd w:val="clear" w:color="000000" w:fill="E7EEEF"/>
            <w:vAlign w:val="center"/>
            <w:hideMark/>
          </w:tcPr>
          <w:p w14:paraId="0BCF7DA6"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2,022</w:t>
            </w:r>
          </w:p>
        </w:tc>
      </w:tr>
      <w:tr w:rsidR="00897D79" w:rsidRPr="00536134" w14:paraId="76F5FD3F" w14:textId="77777777" w:rsidTr="00963862">
        <w:trPr>
          <w:trHeight w:val="405"/>
        </w:trPr>
        <w:tc>
          <w:tcPr>
            <w:tcW w:w="3764" w:type="dxa"/>
            <w:tcBorders>
              <w:top w:val="nil"/>
              <w:left w:val="single" w:sz="8" w:space="0" w:color="FFFFFF"/>
              <w:bottom w:val="single" w:sz="8" w:space="0" w:color="FFFFFF"/>
              <w:right w:val="single" w:sz="8" w:space="0" w:color="FFFFFF"/>
            </w:tcBorders>
            <w:shd w:val="clear" w:color="000000" w:fill="008C9B"/>
            <w:vAlign w:val="center"/>
            <w:hideMark/>
          </w:tcPr>
          <w:p w14:paraId="46117396" w14:textId="77777777" w:rsidR="00897D79" w:rsidRPr="00536134" w:rsidRDefault="00897D79" w:rsidP="00916197">
            <w:pPr>
              <w:spacing w:after="0"/>
              <w:rPr>
                <w:rFonts w:ascii="Calibri" w:eastAsia="Times New Roman" w:hAnsi="Calibri"/>
                <w:color w:val="FFFFFF"/>
                <w:sz w:val="20"/>
                <w:lang w:eastAsia="en-GB"/>
              </w:rPr>
            </w:pPr>
            <w:r w:rsidRPr="00536134">
              <w:rPr>
                <w:rFonts w:ascii="Calibri" w:eastAsia="Times New Roman" w:hAnsi="Calibri"/>
                <w:color w:val="FFFFFF"/>
                <w:sz w:val="20"/>
                <w:lang w:eastAsia="en-GB"/>
              </w:rPr>
              <w:t>Maritime Business Services</w:t>
            </w:r>
          </w:p>
        </w:tc>
        <w:tc>
          <w:tcPr>
            <w:tcW w:w="1375" w:type="dxa"/>
            <w:tcBorders>
              <w:top w:val="nil"/>
              <w:left w:val="nil"/>
              <w:bottom w:val="single" w:sz="8" w:space="0" w:color="FFFFFF"/>
              <w:right w:val="single" w:sz="8" w:space="0" w:color="FFFFFF"/>
            </w:tcBorders>
            <w:shd w:val="clear" w:color="000000" w:fill="D0CECE"/>
            <w:vAlign w:val="center"/>
            <w:hideMark/>
          </w:tcPr>
          <w:p w14:paraId="268C1A79"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144</w:t>
            </w:r>
          </w:p>
        </w:tc>
        <w:tc>
          <w:tcPr>
            <w:tcW w:w="1422" w:type="dxa"/>
            <w:tcBorders>
              <w:top w:val="nil"/>
              <w:left w:val="nil"/>
              <w:bottom w:val="single" w:sz="8" w:space="0" w:color="FFFFFF"/>
              <w:right w:val="single" w:sz="8" w:space="0" w:color="FFFFFF"/>
            </w:tcBorders>
            <w:shd w:val="clear" w:color="000000" w:fill="D0CECE"/>
            <w:vAlign w:val="center"/>
            <w:hideMark/>
          </w:tcPr>
          <w:p w14:paraId="67E04F0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275</w:t>
            </w:r>
          </w:p>
        </w:tc>
        <w:tc>
          <w:tcPr>
            <w:tcW w:w="1422" w:type="dxa"/>
            <w:tcBorders>
              <w:top w:val="nil"/>
              <w:left w:val="nil"/>
              <w:bottom w:val="single" w:sz="8" w:space="0" w:color="FFFFFF"/>
              <w:right w:val="single" w:sz="8" w:space="0" w:color="FFFFFF"/>
            </w:tcBorders>
            <w:shd w:val="clear" w:color="000000" w:fill="D0CECE"/>
            <w:vAlign w:val="center"/>
            <w:hideMark/>
          </w:tcPr>
          <w:p w14:paraId="234391F0"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107</w:t>
            </w:r>
          </w:p>
        </w:tc>
        <w:tc>
          <w:tcPr>
            <w:tcW w:w="1422" w:type="dxa"/>
            <w:tcBorders>
              <w:top w:val="nil"/>
              <w:left w:val="nil"/>
              <w:bottom w:val="single" w:sz="8" w:space="0" w:color="FFFFFF"/>
              <w:right w:val="single" w:sz="8" w:space="0" w:color="FFFFFF"/>
            </w:tcBorders>
            <w:shd w:val="clear" w:color="000000" w:fill="D0CECE"/>
            <w:vAlign w:val="center"/>
            <w:hideMark/>
          </w:tcPr>
          <w:p w14:paraId="72425CFB" w14:textId="77777777" w:rsidR="00897D79" w:rsidRPr="00536134" w:rsidRDefault="00897D79" w:rsidP="00916197">
            <w:pPr>
              <w:spacing w:after="0"/>
              <w:jc w:val="center"/>
              <w:rPr>
                <w:rFonts w:ascii="Calibri" w:eastAsia="Times New Roman" w:hAnsi="Calibri"/>
                <w:color w:val="000000"/>
                <w:sz w:val="20"/>
                <w:lang w:eastAsia="en-GB"/>
              </w:rPr>
            </w:pPr>
            <w:r w:rsidRPr="00536134">
              <w:rPr>
                <w:rFonts w:ascii="Calibri" w:eastAsia="Times New Roman" w:hAnsi="Calibri"/>
                <w:color w:val="000000"/>
                <w:sz w:val="20"/>
                <w:lang w:eastAsia="en-GB"/>
              </w:rPr>
              <w:t>526</w:t>
            </w:r>
          </w:p>
        </w:tc>
      </w:tr>
    </w:tbl>
    <w:p w14:paraId="560141A9" w14:textId="77777777" w:rsidR="00897D79" w:rsidRDefault="00897D79" w:rsidP="00C81A27">
      <w:pPr>
        <w:spacing w:before="60" w:after="0"/>
        <w:jc w:val="right"/>
        <w:rPr>
          <w:rStyle w:val="SubtleEmphasis"/>
          <w:sz w:val="18"/>
        </w:rPr>
      </w:pPr>
      <w:r w:rsidRPr="00256745">
        <w:rPr>
          <w:rStyle w:val="SubtleEmphasis"/>
          <w:sz w:val="18"/>
        </w:rPr>
        <w:t xml:space="preserve"> </w:t>
      </w:r>
      <w:r w:rsidRPr="00C81A27">
        <w:rPr>
          <w:rStyle w:val="SubtleEmphasis"/>
          <w:color w:val="auto"/>
          <w:sz w:val="18"/>
        </w:rPr>
        <w:t>Source: ONS, FAME, Cebr analysis</w:t>
      </w:r>
    </w:p>
    <w:p w14:paraId="0940E044" w14:textId="77777777" w:rsidR="00897D79" w:rsidRDefault="00897D79" w:rsidP="00897D79">
      <w:pPr>
        <w:spacing w:before="60" w:after="0"/>
        <w:rPr>
          <w:rStyle w:val="SubtleEmphasis"/>
          <w:i w:val="0"/>
          <w:szCs w:val="22"/>
        </w:rPr>
      </w:pPr>
    </w:p>
    <w:p w14:paraId="18E84B73" w14:textId="51C45A57" w:rsidR="00897D79" w:rsidRDefault="00897D79" w:rsidP="00897D79">
      <w:pPr>
        <w:spacing w:before="60" w:after="0"/>
        <w:rPr>
          <w:rStyle w:val="SubtleEmphasis"/>
          <w:i w:val="0"/>
          <w:szCs w:val="22"/>
        </w:rPr>
      </w:pPr>
      <w:r>
        <w:rPr>
          <w:rStyle w:val="SubtleEmphasis"/>
          <w:i w:val="0"/>
          <w:szCs w:val="22"/>
        </w:rPr>
        <w:fldChar w:fldCharType="begin"/>
      </w:r>
      <w:r>
        <w:rPr>
          <w:rStyle w:val="SubtleEmphasis"/>
          <w:i w:val="0"/>
          <w:szCs w:val="22"/>
        </w:rPr>
        <w:instrText xml:space="preserve"> REF _Ref490057749 \h </w:instrText>
      </w:r>
      <w:r>
        <w:rPr>
          <w:rStyle w:val="SubtleEmphasis"/>
          <w:i w:val="0"/>
          <w:szCs w:val="22"/>
        </w:rPr>
      </w:r>
      <w:r>
        <w:rPr>
          <w:rStyle w:val="SubtleEmphasis"/>
          <w:i w:val="0"/>
          <w:szCs w:val="22"/>
        </w:rPr>
        <w:fldChar w:fldCharType="separate"/>
      </w:r>
      <w:r w:rsidR="00963862">
        <w:t xml:space="preserve">Table </w:t>
      </w:r>
      <w:r w:rsidR="00963862">
        <w:rPr>
          <w:noProof/>
        </w:rPr>
        <w:t>15</w:t>
      </w:r>
      <w:r>
        <w:rPr>
          <w:rStyle w:val="SubtleEmphasis"/>
          <w:i w:val="0"/>
          <w:szCs w:val="22"/>
        </w:rPr>
        <w:fldChar w:fldCharType="end"/>
      </w:r>
      <w:r w:rsidRPr="00684190">
        <w:rPr>
          <w:rStyle w:val="SubtleEmphasis"/>
          <w:i w:val="0"/>
          <w:color w:val="auto"/>
          <w:szCs w:val="22"/>
        </w:rPr>
        <w:t xml:space="preserve"> shows</w:t>
      </w:r>
      <w:r>
        <w:rPr>
          <w:rStyle w:val="SubtleEmphasis"/>
          <w:i w:val="0"/>
          <w:color w:val="auto"/>
          <w:szCs w:val="22"/>
        </w:rPr>
        <w:t xml:space="preserve"> how the total employment impact of the </w:t>
      </w:r>
      <w:r w:rsidR="00654BBE">
        <w:rPr>
          <w:rStyle w:val="SubtleEmphasis"/>
          <w:i w:val="0"/>
          <w:color w:val="auto"/>
          <w:szCs w:val="22"/>
        </w:rPr>
        <w:t>Maritime Sector</w:t>
      </w:r>
      <w:r>
        <w:rPr>
          <w:rStyle w:val="SubtleEmphasis"/>
          <w:i w:val="0"/>
          <w:color w:val="auto"/>
          <w:szCs w:val="22"/>
        </w:rPr>
        <w:t xml:space="preserve"> in Wales is estimated to have evolved since 2010. Direct and total employment in 2017 was significantly lower than in any other year considered. Moreover, the composite employment multiplier was substantially smaller in 2017 than previous years </w:t>
      </w:r>
      <w:r w:rsidR="00B60125">
        <w:rPr>
          <w:rStyle w:val="SubtleEmphasis"/>
          <w:i w:val="0"/>
          <w:color w:val="auto"/>
          <w:szCs w:val="22"/>
        </w:rPr>
        <w:t xml:space="preserve">partially </w:t>
      </w:r>
      <w:r>
        <w:rPr>
          <w:rStyle w:val="SubtleEmphasis"/>
          <w:i w:val="0"/>
          <w:color w:val="auto"/>
          <w:szCs w:val="22"/>
        </w:rPr>
        <w:t>explaining the low aggregate impact.</w:t>
      </w:r>
    </w:p>
    <w:p w14:paraId="22A33DD7" w14:textId="77777777" w:rsidR="00897D79" w:rsidRDefault="00897D79" w:rsidP="00897D79">
      <w:pPr>
        <w:spacing w:before="60" w:after="0"/>
        <w:rPr>
          <w:rFonts w:ascii="Arial" w:hAnsi="Arial"/>
          <w:sz w:val="20"/>
        </w:rPr>
      </w:pPr>
    </w:p>
    <w:p w14:paraId="6B882A62" w14:textId="5D777540" w:rsidR="00897D79" w:rsidRDefault="00897D79" w:rsidP="00897D79">
      <w:pPr>
        <w:pStyle w:val="Caption"/>
        <w:keepNext/>
      </w:pPr>
      <w:bookmarkStart w:id="80" w:name="_Ref490057749"/>
      <w:r>
        <w:t xml:space="preserve">Table </w:t>
      </w:r>
      <w:r>
        <w:rPr>
          <w:noProof/>
        </w:rPr>
        <w:fldChar w:fldCharType="begin"/>
      </w:r>
      <w:r>
        <w:rPr>
          <w:noProof/>
        </w:rPr>
        <w:instrText xml:space="preserve"> SEQ Table \* ARABIC </w:instrText>
      </w:r>
      <w:r>
        <w:rPr>
          <w:noProof/>
        </w:rPr>
        <w:fldChar w:fldCharType="separate"/>
      </w:r>
      <w:r w:rsidR="00963862">
        <w:rPr>
          <w:noProof/>
        </w:rPr>
        <w:t>15</w:t>
      </w:r>
      <w:r>
        <w:rPr>
          <w:noProof/>
        </w:rPr>
        <w:fldChar w:fldCharType="end"/>
      </w:r>
      <w:bookmarkEnd w:id="80"/>
      <w:r>
        <w:t xml:space="preserve">: </w:t>
      </w:r>
      <w:r w:rsidR="00963862">
        <w:t>Direct and aggregate</w:t>
      </w:r>
      <w:r w:rsidR="009B4BDF">
        <w:t xml:space="preserve"> e</w:t>
      </w:r>
      <w:r w:rsidRPr="000A1545">
        <w:t xml:space="preserve">mployment impact of the </w:t>
      </w:r>
      <w:r w:rsidR="00654BBE">
        <w:t>Maritime Sector</w:t>
      </w:r>
      <w:r w:rsidRPr="000A1545">
        <w:t xml:space="preserve"> in </w:t>
      </w:r>
      <w:r>
        <w:t>Wales, 2010 to 2017</w:t>
      </w:r>
      <w:r w:rsidR="00610DA5">
        <w:t>, jobs</w:t>
      </w:r>
    </w:p>
    <w:tbl>
      <w:tblPr>
        <w:tblW w:w="9473" w:type="dxa"/>
        <w:tblLook w:val="04A0" w:firstRow="1" w:lastRow="0" w:firstColumn="1" w:lastColumn="0" w:noHBand="0" w:noVBand="1"/>
      </w:tblPr>
      <w:tblGrid>
        <w:gridCol w:w="875"/>
        <w:gridCol w:w="2628"/>
        <w:gridCol w:w="3149"/>
        <w:gridCol w:w="2821"/>
      </w:tblGrid>
      <w:tr w:rsidR="00897D79" w:rsidRPr="00643BCB" w14:paraId="7B44CCFF" w14:textId="77777777" w:rsidTr="009B4BDF">
        <w:trPr>
          <w:trHeight w:val="538"/>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61CEE42A"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Year</w:t>
            </w:r>
          </w:p>
        </w:tc>
        <w:tc>
          <w:tcPr>
            <w:tcW w:w="2628" w:type="dxa"/>
            <w:tcBorders>
              <w:top w:val="single" w:sz="8" w:space="0" w:color="FFFFFF"/>
              <w:left w:val="nil"/>
              <w:bottom w:val="single" w:sz="12" w:space="0" w:color="FFFFFF"/>
              <w:right w:val="single" w:sz="8" w:space="0" w:color="FFFFFF"/>
            </w:tcBorders>
            <w:shd w:val="clear" w:color="000000" w:fill="008C9B"/>
            <w:vAlign w:val="center"/>
            <w:hideMark/>
          </w:tcPr>
          <w:p w14:paraId="5914151E"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Direct Impact</w:t>
            </w:r>
          </w:p>
        </w:tc>
        <w:tc>
          <w:tcPr>
            <w:tcW w:w="3149" w:type="dxa"/>
            <w:tcBorders>
              <w:top w:val="single" w:sz="8" w:space="0" w:color="FFFFFF"/>
              <w:left w:val="nil"/>
              <w:bottom w:val="single" w:sz="12" w:space="0" w:color="FFFFFF"/>
              <w:right w:val="single" w:sz="8" w:space="0" w:color="FFFFFF"/>
            </w:tcBorders>
            <w:shd w:val="clear" w:color="000000" w:fill="008C9B"/>
            <w:vAlign w:val="center"/>
            <w:hideMark/>
          </w:tcPr>
          <w:p w14:paraId="727B1562"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Composite Employment multiplier</w:t>
            </w:r>
          </w:p>
        </w:tc>
        <w:tc>
          <w:tcPr>
            <w:tcW w:w="2821" w:type="dxa"/>
            <w:tcBorders>
              <w:top w:val="single" w:sz="8" w:space="0" w:color="FFFFFF"/>
              <w:left w:val="nil"/>
              <w:bottom w:val="single" w:sz="12" w:space="0" w:color="FFFFFF"/>
              <w:right w:val="single" w:sz="8" w:space="0" w:color="FFFFFF"/>
            </w:tcBorders>
            <w:shd w:val="clear" w:color="000000" w:fill="008C9B"/>
            <w:vAlign w:val="center"/>
            <w:hideMark/>
          </w:tcPr>
          <w:p w14:paraId="76F0499C" w14:textId="77777777" w:rsidR="00897D79" w:rsidRPr="00643BCB" w:rsidRDefault="00897D79" w:rsidP="00916197">
            <w:pPr>
              <w:spacing w:after="0"/>
              <w:jc w:val="center"/>
              <w:rPr>
                <w:rFonts w:ascii="Calibri" w:eastAsia="Times New Roman" w:hAnsi="Calibri"/>
                <w:b/>
                <w:bCs/>
                <w:color w:val="FFFFFF"/>
                <w:sz w:val="20"/>
                <w:lang w:eastAsia="en-GB"/>
              </w:rPr>
            </w:pPr>
            <w:r w:rsidRPr="00643BCB">
              <w:rPr>
                <w:rFonts w:ascii="Calibri" w:eastAsia="Times New Roman" w:hAnsi="Calibri"/>
                <w:b/>
                <w:bCs/>
                <w:color w:val="FFFFFF"/>
                <w:sz w:val="20"/>
                <w:lang w:eastAsia="en-GB"/>
              </w:rPr>
              <w:t>Aggregate impact</w:t>
            </w:r>
          </w:p>
        </w:tc>
      </w:tr>
      <w:tr w:rsidR="00897D79" w:rsidRPr="00643BCB" w14:paraId="5883A803" w14:textId="77777777" w:rsidTr="009B4BDF">
        <w:trPr>
          <w:trHeight w:val="337"/>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19793F10"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2010</w:t>
            </w:r>
          </w:p>
        </w:tc>
        <w:tc>
          <w:tcPr>
            <w:tcW w:w="2628" w:type="dxa"/>
            <w:tcBorders>
              <w:top w:val="nil"/>
              <w:left w:val="nil"/>
              <w:bottom w:val="single" w:sz="8" w:space="0" w:color="FFFFFF"/>
              <w:right w:val="single" w:sz="8" w:space="0" w:color="FFFFFF"/>
            </w:tcBorders>
            <w:shd w:val="clear" w:color="000000" w:fill="E7EEEF"/>
            <w:vAlign w:val="center"/>
            <w:hideMark/>
          </w:tcPr>
          <w:p w14:paraId="5B74F5FE"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7,008</w:t>
            </w:r>
          </w:p>
        </w:tc>
        <w:tc>
          <w:tcPr>
            <w:tcW w:w="3149" w:type="dxa"/>
            <w:tcBorders>
              <w:top w:val="nil"/>
              <w:left w:val="nil"/>
              <w:bottom w:val="single" w:sz="8" w:space="0" w:color="FFFFFF"/>
              <w:right w:val="single" w:sz="8" w:space="0" w:color="FFFFFF"/>
            </w:tcBorders>
            <w:shd w:val="clear" w:color="000000" w:fill="E7EEEF"/>
            <w:vAlign w:val="center"/>
            <w:hideMark/>
          </w:tcPr>
          <w:p w14:paraId="310DFF6B"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5.87</w:t>
            </w:r>
          </w:p>
        </w:tc>
        <w:tc>
          <w:tcPr>
            <w:tcW w:w="2821" w:type="dxa"/>
            <w:tcBorders>
              <w:top w:val="nil"/>
              <w:left w:val="nil"/>
              <w:bottom w:val="single" w:sz="8" w:space="0" w:color="FFFFFF"/>
              <w:right w:val="single" w:sz="8" w:space="0" w:color="FFFFFF"/>
            </w:tcBorders>
            <w:shd w:val="clear" w:color="000000" w:fill="E7EEEF"/>
            <w:vAlign w:val="center"/>
            <w:hideMark/>
          </w:tcPr>
          <w:p w14:paraId="010C862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41,141</w:t>
            </w:r>
          </w:p>
        </w:tc>
      </w:tr>
      <w:tr w:rsidR="00897D79" w:rsidRPr="00643BCB" w14:paraId="4D5C26B6"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4DD1621E"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2011</w:t>
            </w:r>
          </w:p>
        </w:tc>
        <w:tc>
          <w:tcPr>
            <w:tcW w:w="2628" w:type="dxa"/>
            <w:tcBorders>
              <w:top w:val="nil"/>
              <w:left w:val="nil"/>
              <w:bottom w:val="single" w:sz="8" w:space="0" w:color="FFFFFF"/>
              <w:right w:val="single" w:sz="8" w:space="0" w:color="FFFFFF"/>
            </w:tcBorders>
            <w:shd w:val="clear" w:color="000000" w:fill="D0CECE"/>
            <w:vAlign w:val="center"/>
            <w:hideMark/>
          </w:tcPr>
          <w:p w14:paraId="74ADF4D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8,214</w:t>
            </w:r>
          </w:p>
        </w:tc>
        <w:tc>
          <w:tcPr>
            <w:tcW w:w="3149" w:type="dxa"/>
            <w:tcBorders>
              <w:top w:val="nil"/>
              <w:left w:val="nil"/>
              <w:bottom w:val="single" w:sz="8" w:space="0" w:color="FFFFFF"/>
              <w:right w:val="single" w:sz="8" w:space="0" w:color="FFFFFF"/>
            </w:tcBorders>
            <w:shd w:val="clear" w:color="000000" w:fill="D0CECE"/>
            <w:vAlign w:val="center"/>
            <w:hideMark/>
          </w:tcPr>
          <w:p w14:paraId="50968AB6"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5.94</w:t>
            </w:r>
          </w:p>
        </w:tc>
        <w:tc>
          <w:tcPr>
            <w:tcW w:w="2821" w:type="dxa"/>
            <w:tcBorders>
              <w:top w:val="nil"/>
              <w:left w:val="nil"/>
              <w:bottom w:val="single" w:sz="8" w:space="0" w:color="FFFFFF"/>
              <w:right w:val="single" w:sz="8" w:space="0" w:color="FFFFFF"/>
            </w:tcBorders>
            <w:shd w:val="clear" w:color="000000" w:fill="D0CECE"/>
            <w:vAlign w:val="center"/>
            <w:hideMark/>
          </w:tcPr>
          <w:p w14:paraId="3A54415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48,814</w:t>
            </w:r>
          </w:p>
        </w:tc>
      </w:tr>
      <w:tr w:rsidR="00897D79" w:rsidRPr="00643BCB" w14:paraId="7B4787E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6345E81C"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2012</w:t>
            </w:r>
          </w:p>
        </w:tc>
        <w:tc>
          <w:tcPr>
            <w:tcW w:w="2628" w:type="dxa"/>
            <w:tcBorders>
              <w:top w:val="nil"/>
              <w:left w:val="nil"/>
              <w:bottom w:val="single" w:sz="8" w:space="0" w:color="FFFFFF"/>
              <w:right w:val="single" w:sz="8" w:space="0" w:color="FFFFFF"/>
            </w:tcBorders>
            <w:shd w:val="clear" w:color="000000" w:fill="E7EEEF"/>
            <w:vAlign w:val="center"/>
            <w:hideMark/>
          </w:tcPr>
          <w:p w14:paraId="0BE66BC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6,044</w:t>
            </w:r>
          </w:p>
        </w:tc>
        <w:tc>
          <w:tcPr>
            <w:tcW w:w="3149" w:type="dxa"/>
            <w:tcBorders>
              <w:top w:val="nil"/>
              <w:left w:val="nil"/>
              <w:bottom w:val="single" w:sz="8" w:space="0" w:color="FFFFFF"/>
              <w:right w:val="single" w:sz="8" w:space="0" w:color="FFFFFF"/>
            </w:tcBorders>
            <w:shd w:val="clear" w:color="000000" w:fill="E7EEEF"/>
            <w:vAlign w:val="center"/>
            <w:hideMark/>
          </w:tcPr>
          <w:p w14:paraId="21C0FFC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6.11</w:t>
            </w:r>
          </w:p>
        </w:tc>
        <w:tc>
          <w:tcPr>
            <w:tcW w:w="2821" w:type="dxa"/>
            <w:tcBorders>
              <w:top w:val="nil"/>
              <w:left w:val="nil"/>
              <w:bottom w:val="single" w:sz="8" w:space="0" w:color="FFFFFF"/>
              <w:right w:val="single" w:sz="8" w:space="0" w:color="FFFFFF"/>
            </w:tcBorders>
            <w:shd w:val="clear" w:color="000000" w:fill="E7EEEF"/>
            <w:vAlign w:val="center"/>
            <w:hideMark/>
          </w:tcPr>
          <w:p w14:paraId="0420D993"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36,922</w:t>
            </w:r>
          </w:p>
        </w:tc>
      </w:tr>
      <w:tr w:rsidR="00897D79" w:rsidRPr="00643BCB" w14:paraId="014DCCA9"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0236CA1F"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2013</w:t>
            </w:r>
          </w:p>
        </w:tc>
        <w:tc>
          <w:tcPr>
            <w:tcW w:w="2628" w:type="dxa"/>
            <w:tcBorders>
              <w:top w:val="nil"/>
              <w:left w:val="nil"/>
              <w:bottom w:val="single" w:sz="8" w:space="0" w:color="FFFFFF"/>
              <w:right w:val="single" w:sz="8" w:space="0" w:color="FFFFFF"/>
            </w:tcBorders>
            <w:shd w:val="clear" w:color="000000" w:fill="D0CECE"/>
            <w:vAlign w:val="center"/>
            <w:hideMark/>
          </w:tcPr>
          <w:p w14:paraId="0AF4C921"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6,401</w:t>
            </w:r>
          </w:p>
        </w:tc>
        <w:tc>
          <w:tcPr>
            <w:tcW w:w="3149" w:type="dxa"/>
            <w:tcBorders>
              <w:top w:val="nil"/>
              <w:left w:val="nil"/>
              <w:bottom w:val="single" w:sz="8" w:space="0" w:color="FFFFFF"/>
              <w:right w:val="single" w:sz="8" w:space="0" w:color="FFFFFF"/>
            </w:tcBorders>
            <w:shd w:val="clear" w:color="000000" w:fill="D0CECE"/>
            <w:vAlign w:val="center"/>
            <w:hideMark/>
          </w:tcPr>
          <w:p w14:paraId="6BD49D8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6.46</w:t>
            </w:r>
          </w:p>
        </w:tc>
        <w:tc>
          <w:tcPr>
            <w:tcW w:w="2821" w:type="dxa"/>
            <w:tcBorders>
              <w:top w:val="nil"/>
              <w:left w:val="nil"/>
              <w:bottom w:val="single" w:sz="8" w:space="0" w:color="FFFFFF"/>
              <w:right w:val="single" w:sz="8" w:space="0" w:color="FFFFFF"/>
            </w:tcBorders>
            <w:shd w:val="clear" w:color="000000" w:fill="D0CECE"/>
            <w:vAlign w:val="center"/>
            <w:hideMark/>
          </w:tcPr>
          <w:p w14:paraId="56AB364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41,358</w:t>
            </w:r>
          </w:p>
        </w:tc>
      </w:tr>
      <w:tr w:rsidR="00897D79" w:rsidRPr="00643BCB" w14:paraId="634218D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20B12FD6"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2014</w:t>
            </w:r>
          </w:p>
        </w:tc>
        <w:tc>
          <w:tcPr>
            <w:tcW w:w="2628" w:type="dxa"/>
            <w:tcBorders>
              <w:top w:val="nil"/>
              <w:left w:val="nil"/>
              <w:bottom w:val="single" w:sz="8" w:space="0" w:color="FFFFFF"/>
              <w:right w:val="single" w:sz="8" w:space="0" w:color="FFFFFF"/>
            </w:tcBorders>
            <w:shd w:val="clear" w:color="000000" w:fill="E7EEEF"/>
            <w:vAlign w:val="center"/>
            <w:hideMark/>
          </w:tcPr>
          <w:p w14:paraId="4884E05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5,343</w:t>
            </w:r>
          </w:p>
        </w:tc>
        <w:tc>
          <w:tcPr>
            <w:tcW w:w="3149" w:type="dxa"/>
            <w:tcBorders>
              <w:top w:val="nil"/>
              <w:left w:val="nil"/>
              <w:bottom w:val="single" w:sz="8" w:space="0" w:color="FFFFFF"/>
              <w:right w:val="single" w:sz="8" w:space="0" w:color="FFFFFF"/>
            </w:tcBorders>
            <w:shd w:val="clear" w:color="000000" w:fill="E7EEEF"/>
            <w:vAlign w:val="center"/>
            <w:hideMark/>
          </w:tcPr>
          <w:p w14:paraId="2C9E2B8D"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5.56</w:t>
            </w:r>
          </w:p>
        </w:tc>
        <w:tc>
          <w:tcPr>
            <w:tcW w:w="2821" w:type="dxa"/>
            <w:tcBorders>
              <w:top w:val="nil"/>
              <w:left w:val="nil"/>
              <w:bottom w:val="single" w:sz="8" w:space="0" w:color="FFFFFF"/>
              <w:right w:val="single" w:sz="8" w:space="0" w:color="FFFFFF"/>
            </w:tcBorders>
            <w:shd w:val="clear" w:color="000000" w:fill="E7EEEF"/>
            <w:vAlign w:val="center"/>
            <w:hideMark/>
          </w:tcPr>
          <w:p w14:paraId="4AF99125"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29,689</w:t>
            </w:r>
          </w:p>
        </w:tc>
      </w:tr>
      <w:tr w:rsidR="00897D79" w:rsidRPr="00643BCB" w14:paraId="4D5139B4"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79C11A72"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2015</w:t>
            </w:r>
          </w:p>
        </w:tc>
        <w:tc>
          <w:tcPr>
            <w:tcW w:w="2628" w:type="dxa"/>
            <w:tcBorders>
              <w:top w:val="nil"/>
              <w:left w:val="nil"/>
              <w:bottom w:val="single" w:sz="8" w:space="0" w:color="FFFFFF"/>
              <w:right w:val="single" w:sz="8" w:space="0" w:color="FFFFFF"/>
            </w:tcBorders>
            <w:shd w:val="clear" w:color="000000" w:fill="D0CECE"/>
            <w:vAlign w:val="center"/>
            <w:hideMark/>
          </w:tcPr>
          <w:p w14:paraId="002075C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6,162</w:t>
            </w:r>
          </w:p>
        </w:tc>
        <w:tc>
          <w:tcPr>
            <w:tcW w:w="3149" w:type="dxa"/>
            <w:tcBorders>
              <w:top w:val="nil"/>
              <w:left w:val="nil"/>
              <w:bottom w:val="single" w:sz="8" w:space="0" w:color="FFFFFF"/>
              <w:right w:val="single" w:sz="8" w:space="0" w:color="FFFFFF"/>
            </w:tcBorders>
            <w:shd w:val="clear" w:color="000000" w:fill="D0CECE"/>
            <w:vAlign w:val="center"/>
            <w:hideMark/>
          </w:tcPr>
          <w:p w14:paraId="785368E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6.17</w:t>
            </w:r>
          </w:p>
        </w:tc>
        <w:tc>
          <w:tcPr>
            <w:tcW w:w="2821" w:type="dxa"/>
            <w:tcBorders>
              <w:top w:val="nil"/>
              <w:left w:val="nil"/>
              <w:bottom w:val="single" w:sz="8" w:space="0" w:color="FFFFFF"/>
              <w:right w:val="single" w:sz="8" w:space="0" w:color="FFFFFF"/>
            </w:tcBorders>
            <w:shd w:val="clear" w:color="000000" w:fill="D0CECE"/>
            <w:vAlign w:val="center"/>
            <w:hideMark/>
          </w:tcPr>
          <w:p w14:paraId="32ED1BD3"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38,048</w:t>
            </w:r>
          </w:p>
        </w:tc>
      </w:tr>
      <w:tr w:rsidR="00897D79" w:rsidRPr="00643BCB" w14:paraId="2E3F95DF"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401F963E"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2016</w:t>
            </w:r>
          </w:p>
        </w:tc>
        <w:tc>
          <w:tcPr>
            <w:tcW w:w="2628" w:type="dxa"/>
            <w:tcBorders>
              <w:top w:val="nil"/>
              <w:left w:val="nil"/>
              <w:bottom w:val="single" w:sz="8" w:space="0" w:color="FFFFFF"/>
              <w:right w:val="single" w:sz="8" w:space="0" w:color="FFFFFF"/>
            </w:tcBorders>
            <w:shd w:val="clear" w:color="000000" w:fill="E7EEEF"/>
            <w:vAlign w:val="center"/>
            <w:hideMark/>
          </w:tcPr>
          <w:p w14:paraId="16D398ED"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6,233</w:t>
            </w:r>
          </w:p>
        </w:tc>
        <w:tc>
          <w:tcPr>
            <w:tcW w:w="3149" w:type="dxa"/>
            <w:tcBorders>
              <w:top w:val="nil"/>
              <w:left w:val="nil"/>
              <w:bottom w:val="single" w:sz="8" w:space="0" w:color="FFFFFF"/>
              <w:right w:val="single" w:sz="8" w:space="0" w:color="FFFFFF"/>
            </w:tcBorders>
            <w:shd w:val="clear" w:color="000000" w:fill="E7EEEF"/>
            <w:vAlign w:val="center"/>
            <w:hideMark/>
          </w:tcPr>
          <w:p w14:paraId="4E9E6BC0"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6.36</w:t>
            </w:r>
          </w:p>
        </w:tc>
        <w:tc>
          <w:tcPr>
            <w:tcW w:w="2821" w:type="dxa"/>
            <w:tcBorders>
              <w:top w:val="nil"/>
              <w:left w:val="nil"/>
              <w:bottom w:val="single" w:sz="8" w:space="0" w:color="FFFFFF"/>
              <w:right w:val="single" w:sz="8" w:space="0" w:color="FFFFFF"/>
            </w:tcBorders>
            <w:shd w:val="clear" w:color="000000" w:fill="E7EEEF"/>
            <w:vAlign w:val="center"/>
            <w:hideMark/>
          </w:tcPr>
          <w:p w14:paraId="2E9892AC"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39,615</w:t>
            </w:r>
          </w:p>
        </w:tc>
      </w:tr>
      <w:tr w:rsidR="00897D79" w:rsidRPr="00643BCB" w14:paraId="11BE3E64" w14:textId="77777777" w:rsidTr="009B4BDF">
        <w:trPr>
          <w:trHeight w:val="322"/>
        </w:trPr>
        <w:tc>
          <w:tcPr>
            <w:tcW w:w="875" w:type="dxa"/>
            <w:tcBorders>
              <w:top w:val="nil"/>
              <w:left w:val="single" w:sz="8" w:space="0" w:color="FFFFFF"/>
              <w:bottom w:val="single" w:sz="8" w:space="0" w:color="FFFFFF"/>
              <w:right w:val="single" w:sz="8" w:space="0" w:color="FFFFFF"/>
            </w:tcBorders>
            <w:shd w:val="clear" w:color="000000" w:fill="008C9B"/>
            <w:vAlign w:val="center"/>
            <w:hideMark/>
          </w:tcPr>
          <w:p w14:paraId="58654721" w14:textId="77777777" w:rsidR="00897D79" w:rsidRPr="00643BCB" w:rsidRDefault="00897D79" w:rsidP="00916197">
            <w:pPr>
              <w:spacing w:after="0"/>
              <w:rPr>
                <w:rFonts w:ascii="Calibri" w:eastAsia="Times New Roman" w:hAnsi="Calibri"/>
                <w:color w:val="FFFFFF"/>
                <w:sz w:val="20"/>
                <w:lang w:eastAsia="en-GB"/>
              </w:rPr>
            </w:pPr>
            <w:r w:rsidRPr="00643BCB">
              <w:rPr>
                <w:rFonts w:ascii="Calibri" w:eastAsia="Times New Roman" w:hAnsi="Calibri"/>
                <w:color w:val="FFFFFF"/>
                <w:sz w:val="20"/>
                <w:lang w:eastAsia="en-GB"/>
              </w:rPr>
              <w:t>2017</w:t>
            </w:r>
          </w:p>
        </w:tc>
        <w:tc>
          <w:tcPr>
            <w:tcW w:w="2628" w:type="dxa"/>
            <w:tcBorders>
              <w:top w:val="nil"/>
              <w:left w:val="nil"/>
              <w:bottom w:val="single" w:sz="8" w:space="0" w:color="FFFFFF"/>
              <w:right w:val="single" w:sz="8" w:space="0" w:color="FFFFFF"/>
            </w:tcBorders>
            <w:shd w:val="clear" w:color="000000" w:fill="D0CECE"/>
            <w:vAlign w:val="center"/>
            <w:hideMark/>
          </w:tcPr>
          <w:p w14:paraId="4066A2E4"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4,067</w:t>
            </w:r>
          </w:p>
        </w:tc>
        <w:tc>
          <w:tcPr>
            <w:tcW w:w="3149" w:type="dxa"/>
            <w:tcBorders>
              <w:top w:val="nil"/>
              <w:left w:val="nil"/>
              <w:bottom w:val="single" w:sz="8" w:space="0" w:color="FFFFFF"/>
              <w:right w:val="single" w:sz="8" w:space="0" w:color="FFFFFF"/>
            </w:tcBorders>
            <w:shd w:val="clear" w:color="000000" w:fill="D0CECE"/>
            <w:vAlign w:val="center"/>
            <w:hideMark/>
          </w:tcPr>
          <w:p w14:paraId="3C83DFDE"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4.90</w:t>
            </w:r>
          </w:p>
        </w:tc>
        <w:tc>
          <w:tcPr>
            <w:tcW w:w="2821" w:type="dxa"/>
            <w:tcBorders>
              <w:top w:val="nil"/>
              <w:left w:val="nil"/>
              <w:bottom w:val="single" w:sz="8" w:space="0" w:color="FFFFFF"/>
              <w:right w:val="single" w:sz="8" w:space="0" w:color="FFFFFF"/>
            </w:tcBorders>
            <w:shd w:val="clear" w:color="000000" w:fill="D0CECE"/>
            <w:vAlign w:val="center"/>
            <w:hideMark/>
          </w:tcPr>
          <w:p w14:paraId="2A3015BA" w14:textId="77777777" w:rsidR="00897D79" w:rsidRPr="00643BCB" w:rsidRDefault="00897D79" w:rsidP="00916197">
            <w:pPr>
              <w:spacing w:after="0"/>
              <w:jc w:val="center"/>
              <w:rPr>
                <w:rFonts w:ascii="Calibri" w:eastAsia="Times New Roman" w:hAnsi="Calibri"/>
                <w:color w:val="000000"/>
                <w:sz w:val="20"/>
                <w:lang w:eastAsia="en-GB"/>
              </w:rPr>
            </w:pPr>
            <w:r w:rsidRPr="00643BCB">
              <w:rPr>
                <w:rFonts w:ascii="Calibri" w:eastAsia="Times New Roman" w:hAnsi="Calibri"/>
                <w:color w:val="000000"/>
                <w:sz w:val="20"/>
                <w:lang w:eastAsia="en-GB"/>
              </w:rPr>
              <w:t>19,917</w:t>
            </w:r>
          </w:p>
        </w:tc>
      </w:tr>
    </w:tbl>
    <w:p w14:paraId="4A6C302F" w14:textId="77777777" w:rsidR="00897D79" w:rsidRPr="00C81A27" w:rsidRDefault="00897D79" w:rsidP="00C81A27">
      <w:pPr>
        <w:spacing w:before="60" w:after="0"/>
        <w:jc w:val="right"/>
        <w:rPr>
          <w:rStyle w:val="SubtleEmphasis"/>
          <w:color w:val="auto"/>
          <w:sz w:val="18"/>
        </w:rPr>
      </w:pPr>
      <w:r w:rsidRPr="00C81A27">
        <w:rPr>
          <w:rStyle w:val="SubtleEmphasis"/>
          <w:color w:val="auto"/>
          <w:sz w:val="18"/>
        </w:rPr>
        <w:t xml:space="preserve"> Source: ONS, FAME, Cebr analysis</w:t>
      </w:r>
    </w:p>
    <w:p w14:paraId="33815B35" w14:textId="77777777" w:rsidR="00897D79" w:rsidRPr="00256745" w:rsidRDefault="00897D79" w:rsidP="00897D79">
      <w:pPr>
        <w:spacing w:before="60" w:after="0"/>
        <w:rPr>
          <w:rStyle w:val="SubtleEmphasis"/>
          <w:i w:val="0"/>
          <w:szCs w:val="22"/>
        </w:rPr>
      </w:pPr>
    </w:p>
    <w:p w14:paraId="0494DBD2" w14:textId="77777777" w:rsidR="00897D79" w:rsidRDefault="00897D79" w:rsidP="00897D79">
      <w:pPr>
        <w:pStyle w:val="Heading2"/>
      </w:pPr>
      <w:bookmarkStart w:id="81" w:name="_Toc18076349"/>
      <w:r>
        <w:t>The wider economic impacts through compensation of employees</w:t>
      </w:r>
      <w:bookmarkEnd w:id="81"/>
    </w:p>
    <w:p w14:paraId="5DC1B96A" w14:textId="18CF14FA" w:rsidR="00897D79" w:rsidRDefault="00897D79" w:rsidP="00897D79">
      <w:pPr>
        <w:spacing w:after="120"/>
      </w:pPr>
      <w:r>
        <w:t xml:space="preserve">This subsection sets out the wider economic impact that the </w:t>
      </w:r>
      <w:r w:rsidR="00654BBE">
        <w:t>Maritime Sector</w:t>
      </w:r>
      <w:r>
        <w:t xml:space="preserve"> in Wales makes through the compensation of employees. </w:t>
      </w:r>
      <w:r>
        <w:fldChar w:fldCharType="begin"/>
      </w:r>
      <w:r>
        <w:instrText xml:space="preserve"> REF _Ref490058290 \h </w:instrText>
      </w:r>
      <w:r>
        <w:fldChar w:fldCharType="separate"/>
      </w:r>
      <w:r w:rsidR="00963862">
        <w:t xml:space="preserve">Figure </w:t>
      </w:r>
      <w:r w:rsidR="00963862">
        <w:rPr>
          <w:noProof/>
        </w:rPr>
        <w:t>19</w:t>
      </w:r>
      <w:r>
        <w:fldChar w:fldCharType="end"/>
      </w:r>
      <w:r>
        <w:t xml:space="preserve"> below illustrates the employee compensation multipliers for the </w:t>
      </w:r>
      <w:r w:rsidR="00654BBE">
        <w:t>Maritime Sector</w:t>
      </w:r>
      <w:r>
        <w:t xml:space="preserve"> in Wales. The direct impact of the compensation of employees from the Welsh </w:t>
      </w:r>
      <w:r w:rsidR="00654BBE">
        <w:t>Maritime Sector</w:t>
      </w:r>
      <w:r>
        <w:t xml:space="preserve"> was £100 million in 2017, where £80 million of employee compensation is stimulated in the supply chains and £40 million in the wider economy when direct and indirect employees spend their earnings. The total impact of compensation of employees was £220 million. </w:t>
      </w:r>
    </w:p>
    <w:p w14:paraId="7B2B8207" w14:textId="6C8BC5A2" w:rsidR="00897D79" w:rsidRPr="00684190" w:rsidRDefault="00897D79" w:rsidP="009B4BDF">
      <w:pPr>
        <w:spacing w:after="120"/>
      </w:pPr>
      <w:r>
        <w:rPr>
          <w:b/>
        </w:rPr>
        <w:lastRenderedPageBreak/>
        <w:t>For</w:t>
      </w:r>
      <w:r w:rsidRPr="002A3EA6">
        <w:rPr>
          <w:b/>
        </w:rPr>
        <w:t xml:space="preserve"> every</w:t>
      </w:r>
      <w:r>
        <w:rPr>
          <w:b/>
        </w:rPr>
        <w:t xml:space="preserve"> £1 </w:t>
      </w:r>
      <w:r w:rsidRPr="00E31A52">
        <w:rPr>
          <w:b/>
        </w:rPr>
        <w:t xml:space="preserve">initially contributed by </w:t>
      </w:r>
      <w:r>
        <w:rPr>
          <w:b/>
        </w:rPr>
        <w:t>these entities in 2017</w:t>
      </w:r>
      <w:r w:rsidRPr="00E31A52">
        <w:rPr>
          <w:b/>
        </w:rPr>
        <w:t xml:space="preserve">, </w:t>
      </w:r>
      <w:r>
        <w:rPr>
          <w:b/>
        </w:rPr>
        <w:t xml:space="preserve">a total of £2.15 in employee compensation was supported in the Welsh economy. </w:t>
      </w:r>
    </w:p>
    <w:p w14:paraId="4F2852CF" w14:textId="4929C46C" w:rsidR="00897D79" w:rsidRPr="005D58B3" w:rsidRDefault="00897D79" w:rsidP="00897D79">
      <w:pPr>
        <w:pStyle w:val="Caption"/>
        <w:keepNext/>
      </w:pPr>
      <w:bookmarkStart w:id="82" w:name="_Ref490058290"/>
      <w:r w:rsidRPr="005D58B3">
        <w:rPr>
          <w:rFonts w:ascii="Calibri" w:eastAsia="Microsoft JhengHei" w:hAnsi="Calibri"/>
          <w:noProof/>
          <w:szCs w:val="22"/>
          <w:lang w:eastAsia="en-GB"/>
        </w:rPr>
        <mc:AlternateContent>
          <mc:Choice Requires="wpg">
            <w:drawing>
              <wp:anchor distT="0" distB="0" distL="114300" distR="114300" simplePos="0" relativeHeight="251668480" behindDoc="0" locked="0" layoutInCell="1" allowOverlap="1" wp14:anchorId="719F8AA3" wp14:editId="1096903F">
                <wp:simplePos x="0" y="0"/>
                <wp:positionH relativeFrom="column">
                  <wp:posOffset>10795</wp:posOffset>
                </wp:positionH>
                <wp:positionV relativeFrom="paragraph">
                  <wp:posOffset>254000</wp:posOffset>
                </wp:positionV>
                <wp:extent cx="5759450" cy="2141855"/>
                <wp:effectExtent l="0" t="0" r="0" b="0"/>
                <wp:wrapNone/>
                <wp:docPr id="50" name="Group 3"/>
                <wp:cNvGraphicFramePr/>
                <a:graphic xmlns:a="http://schemas.openxmlformats.org/drawingml/2006/main">
                  <a:graphicData uri="http://schemas.microsoft.com/office/word/2010/wordprocessingGroup">
                    <wpg:wgp>
                      <wpg:cNvGrpSpPr/>
                      <wpg:grpSpPr>
                        <a:xfrm>
                          <a:off x="0" y="0"/>
                          <a:ext cx="5759450" cy="2141855"/>
                          <a:chOff x="0" y="0"/>
                          <a:chExt cx="6508545" cy="1930620"/>
                        </a:xfrm>
                      </wpg:grpSpPr>
                      <wps:wsp>
                        <wps:cNvPr id="51" name="Down Arrow 51"/>
                        <wps:cNvSpPr/>
                        <wps:spPr>
                          <a:xfrm rot="16200000">
                            <a:off x="1783828" y="621977"/>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2" name="Down Arrow 52"/>
                        <wps:cNvSpPr/>
                        <wps:spPr>
                          <a:xfrm rot="16200000">
                            <a:off x="4088878" y="650552"/>
                            <a:ext cx="514350" cy="485775"/>
                          </a:xfrm>
                          <a:prstGeom prst="downArrow">
                            <a:avLst/>
                          </a:prstGeom>
                          <a:solidFill>
                            <a:schemeClr val="accent3">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53" name="Rectangle 53"/>
                        <wps:cNvSpPr/>
                        <wps:spPr>
                          <a:xfrm>
                            <a:off x="12495" y="1584320"/>
                            <a:ext cx="6496050" cy="346300"/>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7ABA69A" w14:textId="415C7614"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£220m</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Rounded Rectangle 54"/>
                        <wps:cNvSpPr/>
                        <wps:spPr>
                          <a:xfrm>
                            <a:off x="8413" y="462538"/>
                            <a:ext cx="1584176" cy="964937"/>
                          </a:xfrm>
                          <a:prstGeom prst="round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1D10CB3"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62511C5" w14:textId="77777777" w:rsidR="001E63EE" w:rsidRDefault="001E63EE" w:rsidP="00897D79">
                              <w:pPr>
                                <w:pStyle w:val="NormalWeb"/>
                                <w:spacing w:before="0" w:beforeAutospacing="0" w:after="0" w:afterAutospacing="0"/>
                                <w:jc w:val="center"/>
                              </w:pPr>
                            </w:p>
                            <w:p w14:paraId="4BE0F0E4" w14:textId="39E6CBCC"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£100m</w:t>
                              </w:r>
                            </w:p>
                          </w:txbxContent>
                        </wps:txbx>
                        <wps:bodyPr rtlCol="0" anchor="t" anchorCtr="0"/>
                      </wps:wsp>
                      <wps:wsp>
                        <wps:cNvPr id="55" name="Rounded Rectangle 55"/>
                        <wps:cNvSpPr/>
                        <wps:spPr>
                          <a:xfrm>
                            <a:off x="2384677" y="462538"/>
                            <a:ext cx="1584176" cy="964937"/>
                          </a:xfrm>
                          <a:prstGeom prst="round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8AE232C" w14:textId="079AB168"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£80m</w:t>
                              </w:r>
                            </w:p>
                          </w:txbxContent>
                        </wps:txbx>
                        <wps:bodyPr rtlCol="0" anchor="t" anchorCtr="0"/>
                      </wps:wsp>
                      <wps:wsp>
                        <wps:cNvPr id="56" name="Rounded Rectangle 56"/>
                        <wps:cNvSpPr/>
                        <wps:spPr>
                          <a:xfrm>
                            <a:off x="4648213" y="462211"/>
                            <a:ext cx="1584176" cy="964937"/>
                          </a:xfrm>
                          <a:prstGeom prst="round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DC1A44B" w14:textId="65B9781A"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£40m</w:t>
                              </w:r>
                            </w:p>
                          </w:txbxContent>
                        </wps:txbx>
                        <wps:bodyPr rtlCol="0" anchor="t" anchorCtr="0"/>
                      </wps:wsp>
                      <wps:wsp>
                        <wps:cNvPr id="57" name="Rectangle 57"/>
                        <wps:cNvSpPr/>
                        <wps:spPr>
                          <a:xfrm>
                            <a:off x="0" y="0"/>
                            <a:ext cx="6496050" cy="345378"/>
                          </a:xfrm>
                          <a:prstGeom prst="rect">
                            <a:avLst/>
                          </a:prstGeom>
                          <a:solidFill>
                            <a:schemeClr val="accent3"/>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495ADC"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9F8AA3" id="_x0000_s1050" style="position:absolute;margin-left:.85pt;margin-top:20pt;width:453.5pt;height:168.65pt;z-index:251668480" coordsize="65085,193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">
                <v:shape id="Down Arrow 51" o:spid="_x0000_s1051" type="#_x0000_t67" style="position:absolute;left:17838;top:6219;width:5144;height:485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1EPcAA&#10;AADbAAAADwAAAGRycy9kb3ducmV2LnhtbESPzYoCMRCE74LvEFrwphkX1HXWKCoIe/Xnsrd20s4M&#10;O90ZJlmNb28WBI9FVX1FLdeRG3WjztdODEzGGSiSwtlaSgPn0370CcoHFIuNEzLwIA/rVb+3xNy6&#10;uxzodgylShDxORqoQmhzrX1REaMfu5YkeVfXMYYku1LbDu8Jzo3+yLKZZqwlLVTY0q6i4vf4xwZk&#10;wRz9wlH746fbmh+XuN3MjRkO4uYLVKAY3uFX+9samE7g/0v6AXr1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n1EPcAAAADbAAAADwAAAAAAAAAAAAAAAACYAgAAZHJzL2Rvd25y&#10;ZXYueG1sUEsFBgAAAAAEAAQA9QAAAIUDAAAAAA==&#10;" adj="10800" fillcolor="#c4c4c6 [1302]" stroked="f" strokeweight="2pt"/>
                <v:shape id="Down Arrow 52" o:spid="_x0000_s1052" type="#_x0000_t67" style="position:absolute;left:40888;top:6505;width:5144;height:4858;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aSsEA&#10;AADbAAAADwAAAGRycy9kb3ducmV2LnhtbESPQWvCQBSE70L/w/IKvemmQmpNXUUFodeql95es69J&#10;aN7bkN0mm3/fLQgeh5n5htnsIrdqoN43Tgw8LzJQJKWzjVQGrpfT/BWUDygWWydkYCIPu+3DbIOF&#10;daN80HAOlUoQ8QUaqEPoCq19WROjX7iOJHnfrmcMSfaVtj2OCc6tXmbZi2ZsJC3U2NGxpvLn/MsG&#10;ZM0c/dpR9+nzQ8PTVzzsV8Y8Pcb9G6hAMdzDt/a7NZAv4f9L+gF6+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qv2krBAAAA2wAAAA8AAAAAAAAAAAAAAAAAmAIAAGRycy9kb3du&#10;cmV2LnhtbFBLBQYAAAAABAAEAPUAAACGAwAAAAA=&#10;" adj="10800" fillcolor="#c4c4c6 [1302]" stroked="f" strokeweight="2pt"/>
                <v:rect id="Rectangle 53" o:spid="_x0000_s1053" style="position:absolute;left:124;top:15843;width:64961;height:34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pNJMEA&#10;AADbAAAADwAAAGRycy9kb3ducmV2LnhtbESPzWrDMBCE74W8g9hAb7WchJTgRAnGEGiOdZucF2v9&#10;Q6SVsRTb7dNXhUKPw8w3wxxOszVipMF3jhWskhQEceV0x42Cz4/zyw6ED8gajWNS8EUeTsfF0wEz&#10;7SZ+p7EMjYgl7DNU0IbQZ1L6qiWLPnE9cfRqN1gMUQ6N1ANOsdwauU7TV2mx47jQYk9FS9W9fFgF&#10;W6bLNpTfprjmef3A6lrcvFHqeTnnexCB5vAf/qPfdOQ28Psl/gB5/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AaTSTBAAAA2wAAAA8AAAAAAAAAAAAAAAAAmAIAAGRycy9kb3du&#10;cmV2LnhtbFBLBQYAAAAABAAEAPUAAACGAwAAAAA=&#10;" fillcolor="#6d6e71 [3206]" stroked="f" strokeweight="2pt">
                  <v:textbox>
                    <w:txbxContent>
                      <w:p w14:paraId="27ABA69A" w14:textId="415C7614" w:rsidR="001E63EE" w:rsidRDefault="001E63EE" w:rsidP="00897D79">
                        <w:pPr>
                          <w:pStyle w:val="NormalWeb"/>
                          <w:spacing w:before="0" w:beforeAutospacing="0" w:after="160" w:afterAutospacing="0" w:line="256" w:lineRule="auto"/>
                          <w:jc w:val="center"/>
                        </w:pPr>
                        <w:r>
                          <w:rPr>
                            <w:rFonts w:asciiTheme="minorHAnsi" w:eastAsia="Calibri" w:hAnsi="Calibri"/>
                            <w:color w:val="FFFFFF" w:themeColor="light1"/>
                            <w:kern w:val="24"/>
                            <w:sz w:val="32"/>
                            <w:szCs w:val="32"/>
                          </w:rPr>
                          <w:t xml:space="preserve">Total Impact </w:t>
                        </w:r>
                        <w:r>
                          <w:rPr>
                            <w:rFonts w:asciiTheme="minorHAnsi" w:eastAsia="Calibri" w:hAnsi="Calibri"/>
                            <w:color w:val="FFFFFF" w:themeColor="light1"/>
                            <w:kern w:val="24"/>
                            <w:sz w:val="36"/>
                            <w:szCs w:val="36"/>
                          </w:rPr>
                          <w:t>= ❶+❷+❸ = £220m</w:t>
                        </w:r>
                      </w:p>
                    </w:txbxContent>
                  </v:textbox>
                </v:rect>
                <v:roundrect id="Rounded Rectangle 54" o:spid="_x0000_s1054" style="position:absolute;left:84;top:4625;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0eMsMA&#10;AADbAAAADwAAAGRycy9kb3ducmV2LnhtbESPzWrDMBCE74G+g9hCL6GR26bFOJZDKYTmmp8H2Fob&#10;27G0MpZqO336qBDIcZiZb5h8PVkjBup941jByyIBQVw63XCl4HjYPKcgfEDWaByTggt5WBcPsxwz&#10;7Ube0bAPlYgQ9hkqqEPoMil9WZNFv3AdcfROrrcYouwrqXscI9wa+ZokH9Jiw3Ghxo6+airb/a9V&#10;8Iebt9PFfHfNzzBvnRnT8dyWSj09Tp8rEIGmcA/f2lut4H0J/1/iD5D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0eMsMAAADbAAAADwAAAAAAAAAAAAAAAACYAgAAZHJzL2Rv&#10;d25yZXYueG1sUEsFBgAAAAAEAAQA9QAAAIgDAAAAAA==&#10;" fillcolor="#008c9b [3204]" stroked="f" strokeweight="2pt">
                  <v:textbox>
                    <w:txbxContent>
                      <w:p w14:paraId="01D10CB3" w14:textId="77777777" w:rsidR="001E63EE" w:rsidRDefault="001E63EE" w:rsidP="00897D79">
                        <w:pPr>
                          <w:pStyle w:val="NormalWeb"/>
                          <w:spacing w:before="0" w:beforeAutospacing="0" w:after="0" w:afterAutospacing="0"/>
                          <w:jc w:val="center"/>
                          <w:rPr>
                            <w:rFonts w:asciiTheme="minorHAnsi" w:hAnsi="+mn-ea" w:cstheme="minorBidi" w:hint="eastAsia"/>
                            <w:b/>
                            <w:bCs/>
                            <w:color w:val="FFFFFF" w:themeColor="background1"/>
                            <w:kern w:val="24"/>
                            <w:sz w:val="26"/>
                            <w:szCs w:val="26"/>
                          </w:rPr>
                        </w:pPr>
                        <w:r>
                          <w:rPr>
                            <w:rFonts w:ascii="Cambria Math" w:hAnsi="Cambria Math" w:cs="Cambria Math"/>
                            <w:b/>
                            <w:bCs/>
                            <w:color w:val="FFFFFF" w:themeColor="background1"/>
                            <w:kern w:val="24"/>
                            <w:sz w:val="26"/>
                            <w:szCs w:val="26"/>
                          </w:rPr>
                          <w:t>❶</w:t>
                        </w:r>
                        <w:r>
                          <w:rPr>
                            <w:rFonts w:asciiTheme="minorHAnsi" w:hAnsi="+mn-ea" w:cstheme="minorBidi"/>
                            <w:b/>
                            <w:bCs/>
                            <w:color w:val="FFFFFF" w:themeColor="background1"/>
                            <w:kern w:val="24"/>
                            <w:sz w:val="26"/>
                            <w:szCs w:val="26"/>
                          </w:rPr>
                          <w:t xml:space="preserve"> DIRECT </w:t>
                        </w:r>
                      </w:p>
                      <w:p w14:paraId="662511C5" w14:textId="77777777" w:rsidR="001E63EE" w:rsidRDefault="001E63EE" w:rsidP="00897D79">
                        <w:pPr>
                          <w:pStyle w:val="NormalWeb"/>
                          <w:spacing w:before="0" w:beforeAutospacing="0" w:after="0" w:afterAutospacing="0"/>
                          <w:jc w:val="center"/>
                        </w:pPr>
                      </w:p>
                      <w:p w14:paraId="4BE0F0E4" w14:textId="39E6CBCC" w:rsidR="001E63EE" w:rsidRDefault="001E63EE" w:rsidP="00897D79">
                        <w:pPr>
                          <w:pStyle w:val="NormalWeb"/>
                          <w:spacing w:before="0" w:beforeAutospacing="0" w:after="0" w:afterAutospacing="0"/>
                          <w:jc w:val="center"/>
                        </w:pPr>
                        <w:r>
                          <w:rPr>
                            <w:rFonts w:asciiTheme="minorHAnsi" w:hAnsi="Calibri" w:cstheme="minorBidi"/>
                            <w:color w:val="FFFFFF" w:themeColor="background1"/>
                            <w:kern w:val="24"/>
                            <w:sz w:val="48"/>
                            <w:szCs w:val="48"/>
                          </w:rPr>
                          <w:t>£100m</w:t>
                        </w:r>
                      </w:p>
                    </w:txbxContent>
                  </v:textbox>
                </v:roundrect>
                <v:roundrect id="Rounded Rectangle 55" o:spid="_x0000_s1055" style="position:absolute;left:23846;top:4625;width:15842;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PFn+8EA&#10;AADbAAAADwAAAGRycy9kb3ducmV2LnhtbESPS4sCMRCE7wv+h9CCN834REejiLiwlxV83ZtJOzM4&#10;6YxJ1PHfbwRhj0VVfUUtVo2pxIOcLy0r6PcSEMSZ1SXnCk7H7+4UhA/IGivLpOBFHlbL1tcCU22f&#10;vKfHIeQiQtinqKAIoU6l9FlBBn3P1sTRu1hnMETpcqkdPiPcVHKQJBNpsOS4UGBNm4Ky6+FuFCT1&#10;2vrdazQcHrfn33AbaVfOtFKddrOegwjUhP/wp/2jFYzH8P4Sf4Bc/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jxZ/vBAAAA2wAAAA8AAAAAAAAAAAAAAAAAmAIAAGRycy9kb3du&#10;cmV2LnhtbFBLBQYAAAAABAAEAPUAAACGAwAAAAA=&#10;" fillcolor="#0070c0" stroked="f" strokeweight="2pt">
                  <v:textbox>
                    <w:txbxContent>
                      <w:p w14:paraId="28AE232C" w14:textId="079AB168" w:rsidR="001E63EE" w:rsidRDefault="001E63EE" w:rsidP="00897D79">
                        <w:pPr>
                          <w:pStyle w:val="NormalWeb"/>
                          <w:spacing w:before="0" w:beforeAutospacing="0" w:after="0" w:afterAutospacing="0"/>
                          <w:jc w:val="center"/>
                        </w:pPr>
                        <w:r>
                          <w:rPr>
                            <w:rFonts w:asciiTheme="minorHAnsi" w:hAnsi="Calibri" w:cstheme="minorBidi"/>
                            <w:b/>
                            <w:bCs/>
                            <w:color w:val="FFFFFF" w:themeColor="background1"/>
                            <w:kern w:val="24"/>
                            <w:sz w:val="26"/>
                            <w:szCs w:val="26"/>
                          </w:rPr>
                          <w:t xml:space="preserve"> ❷ INDIRECT </w:t>
                        </w:r>
                        <w:r>
                          <w:rPr>
                            <w:rFonts w:asciiTheme="minorHAnsi" w:hAnsi="Calibri" w:cstheme="minorBidi"/>
                            <w:b/>
                            <w:bCs/>
                            <w:color w:val="FFFFFF" w:themeColor="background1"/>
                            <w:kern w:val="24"/>
                            <w:sz w:val="26"/>
                            <w:szCs w:val="26"/>
                          </w:rPr>
                          <w:br/>
                        </w:r>
                        <w:r>
                          <w:rPr>
                            <w:rFonts w:asciiTheme="minorHAnsi" w:hAnsi="Calibri" w:cstheme="minorBidi"/>
                            <w:b/>
                            <w:bCs/>
                            <w:color w:val="FFFFFF" w:themeColor="background1"/>
                            <w:kern w:val="24"/>
                          </w:rPr>
                          <w:t>(supply-chain)</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£80m</w:t>
                        </w:r>
                      </w:p>
                    </w:txbxContent>
                  </v:textbox>
                </v:roundrect>
                <v:roundrect id="Rounded Rectangle 56" o:spid="_x0000_s1056" style="position:absolute;left:46482;top:4622;width:15841;height:964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pIOI8UA&#10;AADbAAAADwAAAGRycy9kb3ducmV2LnhtbESPQWvCQBSE7wX/w/KEXopu0mKQ6CZIIVDaSxv1/sw+&#10;k2D2bcxuNe2v7xYEj8PMfMOs89F04kKDay0riOcRCOLK6pZrBbttMVuCcB5ZY2eZFPyQgzybPKwx&#10;1fbKX3QpfS0ChF2KChrv+1RKVzVk0M1tTxy8ox0M+iCHWuoBrwFuOvkcRYk02HJYaLCn14aqU/lt&#10;FLTviS2eXs7bw3LPn6X8iH8Xp71Sj9NxswLhafT38K39phUsEvj/En6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kg4jxQAAANsAAAAPAAAAAAAAAAAAAAAAAJgCAABkcnMv&#10;ZG93bnJldi54bWxQSwUGAAAAAAQABAD1AAAAigMAAAAA&#10;" fillcolor="#7030a0" stroked="f" strokeweight="2pt">
                  <v:textbox>
                    <w:txbxContent>
                      <w:p w14:paraId="6DC1A44B" w14:textId="65B9781A" w:rsidR="001E63EE" w:rsidRDefault="001E63EE" w:rsidP="00897D79">
                        <w:pPr>
                          <w:pStyle w:val="NormalWeb"/>
                          <w:spacing w:before="0" w:beforeAutospacing="0" w:after="0" w:afterAutospacing="0"/>
                          <w:jc w:val="center"/>
                        </w:pPr>
                        <w:r>
                          <w:rPr>
                            <w:rFonts w:ascii="Cambria Math" w:hAnsi="Cambria Math" w:cs="Cambria Math"/>
                            <w:b/>
                            <w:bCs/>
                            <w:color w:val="FFFFFF" w:themeColor="background1"/>
                            <w:kern w:val="24"/>
                            <w:sz w:val="26"/>
                            <w:szCs w:val="26"/>
                          </w:rPr>
                          <w:t>❸</w:t>
                        </w:r>
                        <w:r>
                          <w:rPr>
                            <w:rFonts w:asciiTheme="minorHAnsi" w:hAnsi="+mn-ea" w:cstheme="minorBidi"/>
                            <w:b/>
                            <w:bCs/>
                            <w:color w:val="FFFFFF" w:themeColor="background1"/>
                            <w:kern w:val="24"/>
                            <w:sz w:val="26"/>
                            <w:szCs w:val="26"/>
                          </w:rPr>
                          <w:t xml:space="preserve"> INDUCED</w:t>
                        </w:r>
                        <w:r>
                          <w:rPr>
                            <w:rFonts w:asciiTheme="minorHAnsi" w:hAnsi="+mn-ea" w:cstheme="minorBidi"/>
                            <w:b/>
                            <w:bCs/>
                            <w:color w:val="FFFFFF" w:themeColor="background1"/>
                            <w:kern w:val="24"/>
                            <w:sz w:val="26"/>
                            <w:szCs w:val="26"/>
                          </w:rPr>
                          <w:br/>
                        </w:r>
                        <w:r>
                          <w:rPr>
                            <w:rFonts w:asciiTheme="minorHAnsi" w:hAnsi="Calibri" w:cstheme="minorBidi"/>
                            <w:b/>
                            <w:bCs/>
                            <w:color w:val="FFFFFF" w:themeColor="background1"/>
                            <w:kern w:val="24"/>
                          </w:rPr>
                          <w:t>(wider-spending)</w:t>
                        </w:r>
                        <w:r>
                          <w:rPr>
                            <w:rFonts w:asciiTheme="minorHAnsi" w:hAnsi="Calibri" w:cstheme="minorBidi"/>
                            <w:b/>
                            <w:bCs/>
                            <w:color w:val="FFFFFF" w:themeColor="background1"/>
                            <w:kern w:val="24"/>
                            <w:sz w:val="26"/>
                            <w:szCs w:val="26"/>
                          </w:rPr>
                          <w:br/>
                        </w:r>
                        <w:r>
                          <w:rPr>
                            <w:rFonts w:asciiTheme="minorHAnsi" w:hAnsi="Calibri" w:cstheme="minorBidi"/>
                            <w:color w:val="FFFFFF" w:themeColor="background1"/>
                            <w:kern w:val="24"/>
                            <w:sz w:val="48"/>
                            <w:szCs w:val="48"/>
                          </w:rPr>
                          <w:t>£40m</w:t>
                        </w:r>
                      </w:p>
                    </w:txbxContent>
                  </v:textbox>
                </v:roundrect>
                <v:rect id="Rectangle 57" o:spid="_x0000_s1057" style="position:absolute;width:64960;height:345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FLJ8AA&#10;AADbAAAADwAAAGRycy9kb3ducmV2LnhtbESPT4vCMBTE78J+h/AW9qapC/6hGqUUFtyj1Xp+NM+2&#10;mLyUJmrdT78RBI/DzG+GWW8Ha8SNet86VjCdJCCIK6dbrhUcDz/jJQgfkDUax6TgQR62m4/RGlPt&#10;7rynWxFqEUvYp6igCaFLpfRVQxb9xHXE0Tu73mKIsq+l7vEey62R30kylxZbjgsNdpQ3VF2Kq1Uw&#10;Y/qdheLP5GWWna9YlfnJG6W+PodsBSLQEN7hF73TkVvA80v8AXLz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yFLJ8AAAADbAAAADwAAAAAAAAAAAAAAAACYAgAAZHJzL2Rvd25y&#10;ZXYueG1sUEsFBgAAAAAEAAQA9QAAAIUDAAAAAA==&#10;" fillcolor="#6d6e71 [3206]" stroked="f" strokeweight="2pt">
                  <v:textbox>
                    <w:txbxContent>
                      <w:p w14:paraId="08495ADC" w14:textId="77777777" w:rsidR="001E63EE" w:rsidRDefault="001E63EE" w:rsidP="00897D79">
                        <w:pPr>
                          <w:pStyle w:val="NormalWeb"/>
                          <w:spacing w:before="0" w:beforeAutospacing="0" w:after="160" w:afterAutospacing="0" w:line="256" w:lineRule="auto"/>
                          <w:jc w:val="center"/>
                        </w:pPr>
                        <w:r>
                          <w:rPr>
                            <w:rFonts w:asciiTheme="minorHAnsi" w:eastAsia="Calibri" w:hAnsi="Calibri"/>
                            <w:b/>
                            <w:bCs/>
                            <w:color w:val="FFFFFF" w:themeColor="light1"/>
                            <w:kern w:val="24"/>
                            <w:sz w:val="32"/>
                            <w:szCs w:val="32"/>
                          </w:rPr>
                          <w:t>Employee Compensation</w:t>
                        </w:r>
                      </w:p>
                    </w:txbxContent>
                  </v:textbox>
                </v:rect>
              </v:group>
            </w:pict>
          </mc:Fallback>
        </mc:AlternateContent>
      </w:r>
      <w:r>
        <w:t xml:space="preserve">Figure </w:t>
      </w:r>
      <w:r>
        <w:rPr>
          <w:noProof/>
        </w:rPr>
        <w:fldChar w:fldCharType="begin"/>
      </w:r>
      <w:r>
        <w:rPr>
          <w:noProof/>
        </w:rPr>
        <w:instrText xml:space="preserve"> SEQ Figure \* ARABIC </w:instrText>
      </w:r>
      <w:r>
        <w:rPr>
          <w:noProof/>
        </w:rPr>
        <w:fldChar w:fldCharType="separate"/>
      </w:r>
      <w:r w:rsidR="00963862">
        <w:rPr>
          <w:noProof/>
        </w:rPr>
        <w:t>19</w:t>
      </w:r>
      <w:r>
        <w:rPr>
          <w:noProof/>
        </w:rPr>
        <w:fldChar w:fldCharType="end"/>
      </w:r>
      <w:bookmarkEnd w:id="82"/>
      <w:r>
        <w:t xml:space="preserve">: </w:t>
      </w:r>
      <w:r w:rsidRPr="008436DA">
        <w:t>Employee compensation mult</w:t>
      </w:r>
      <w:r>
        <w:t xml:space="preserve">iplier impacts of the </w:t>
      </w:r>
      <w:r w:rsidR="00654BBE">
        <w:t>Maritime Sector</w:t>
      </w:r>
      <w:r w:rsidRPr="008436DA">
        <w:t xml:space="preserve"> in</w:t>
      </w:r>
      <w:r>
        <w:t xml:space="preserve"> Wales, 2017</w:t>
      </w:r>
    </w:p>
    <w:p w14:paraId="58FDAA3C" w14:textId="77777777" w:rsidR="00897D79" w:rsidRDefault="00897D79" w:rsidP="00897D79">
      <w:pPr>
        <w:rPr>
          <w:rFonts w:ascii="Calibri" w:eastAsia="Microsoft JhengHei" w:hAnsi="Calibri"/>
          <w:szCs w:val="22"/>
        </w:rPr>
      </w:pPr>
    </w:p>
    <w:p w14:paraId="1678B43D" w14:textId="77777777" w:rsidR="00897D79" w:rsidRDefault="00897D79" w:rsidP="00897D79">
      <w:pPr>
        <w:rPr>
          <w:rFonts w:ascii="Calibri" w:eastAsia="Microsoft JhengHei" w:hAnsi="Calibri"/>
          <w:szCs w:val="22"/>
        </w:rPr>
      </w:pPr>
    </w:p>
    <w:p w14:paraId="2FA745FA" w14:textId="77777777" w:rsidR="00897D79" w:rsidRDefault="00897D79" w:rsidP="00897D79">
      <w:pPr>
        <w:rPr>
          <w:rFonts w:ascii="Calibri" w:eastAsia="Microsoft JhengHei" w:hAnsi="Calibri"/>
          <w:szCs w:val="22"/>
        </w:rPr>
      </w:pPr>
    </w:p>
    <w:p w14:paraId="3F345C0A" w14:textId="77777777" w:rsidR="00897D79" w:rsidRDefault="00897D79" w:rsidP="00897D79">
      <w:pPr>
        <w:rPr>
          <w:rFonts w:ascii="Calibri" w:eastAsia="Microsoft JhengHei" w:hAnsi="Calibri"/>
          <w:szCs w:val="22"/>
        </w:rPr>
      </w:pPr>
    </w:p>
    <w:p w14:paraId="56BBCBC4" w14:textId="77777777" w:rsidR="00897D79" w:rsidRDefault="00897D79" w:rsidP="00897D79">
      <w:pPr>
        <w:rPr>
          <w:rFonts w:ascii="Calibri" w:eastAsia="Microsoft JhengHei" w:hAnsi="Calibri"/>
          <w:szCs w:val="22"/>
        </w:rPr>
      </w:pPr>
    </w:p>
    <w:p w14:paraId="7D84F9C3" w14:textId="77777777" w:rsidR="00897D79" w:rsidRDefault="00897D79" w:rsidP="00897D79">
      <w:pPr>
        <w:rPr>
          <w:rFonts w:ascii="Calibri" w:eastAsia="Microsoft JhengHei" w:hAnsi="Calibri"/>
          <w:szCs w:val="22"/>
        </w:rPr>
      </w:pPr>
    </w:p>
    <w:p w14:paraId="716EACB1" w14:textId="77777777" w:rsidR="00897D79" w:rsidRDefault="00897D79" w:rsidP="00897D79">
      <w:pPr>
        <w:rPr>
          <w:rFonts w:ascii="Calibri" w:eastAsia="Microsoft JhengHei" w:hAnsi="Calibri"/>
          <w:szCs w:val="22"/>
        </w:rPr>
      </w:pPr>
    </w:p>
    <w:p w14:paraId="3DE3F012" w14:textId="77777777" w:rsidR="00897D79" w:rsidRDefault="00897D79" w:rsidP="00897D79">
      <w:pPr>
        <w:rPr>
          <w:rFonts w:ascii="Calibri" w:eastAsia="Microsoft JhengHei" w:hAnsi="Calibri"/>
          <w:szCs w:val="22"/>
        </w:rPr>
      </w:pPr>
    </w:p>
    <w:p w14:paraId="6C7DC06C" w14:textId="77777777" w:rsidR="00897D79" w:rsidRPr="00C81A27" w:rsidRDefault="00897D79" w:rsidP="00897D79">
      <w:pPr>
        <w:spacing w:before="60" w:after="120"/>
        <w:jc w:val="right"/>
        <w:rPr>
          <w:i/>
          <w:iCs/>
          <w:sz w:val="18"/>
        </w:rPr>
      </w:pPr>
      <w:r w:rsidRPr="00C81A27">
        <w:rPr>
          <w:rStyle w:val="SubtleEmphasis"/>
          <w:color w:val="auto"/>
          <w:sz w:val="18"/>
        </w:rPr>
        <w:t>Source: ONS, FAME, Cebr analysis</w:t>
      </w:r>
    </w:p>
    <w:p w14:paraId="2F4BDFEE" w14:textId="77777777" w:rsidR="00897D79" w:rsidRPr="002A3EA6" w:rsidRDefault="00897D79" w:rsidP="00897D79">
      <w:pPr>
        <w:rPr>
          <w:rFonts w:ascii="Calibri" w:eastAsia="Microsoft JhengHei" w:hAnsi="Calibri"/>
          <w:szCs w:val="22"/>
        </w:rPr>
      </w:pPr>
      <w:r>
        <w:rPr>
          <w:rFonts w:ascii="Calibri" w:eastAsia="Microsoft JhengHei" w:hAnsi="Calibri"/>
          <w:szCs w:val="22"/>
        </w:rPr>
        <w:fldChar w:fldCharType="begin"/>
      </w:r>
      <w:r>
        <w:rPr>
          <w:rFonts w:ascii="Calibri" w:eastAsia="Microsoft JhengHei" w:hAnsi="Calibri"/>
          <w:szCs w:val="22"/>
        </w:rPr>
        <w:instrText xml:space="preserve"> REF _Ref490058703 \h </w:instrText>
      </w:r>
      <w:r>
        <w:rPr>
          <w:rFonts w:ascii="Calibri" w:eastAsia="Microsoft JhengHei" w:hAnsi="Calibri"/>
          <w:szCs w:val="22"/>
        </w:rPr>
      </w:r>
      <w:r>
        <w:rPr>
          <w:rFonts w:ascii="Calibri" w:eastAsia="Microsoft JhengHei" w:hAnsi="Calibri"/>
          <w:szCs w:val="22"/>
        </w:rPr>
        <w:fldChar w:fldCharType="separate"/>
      </w:r>
      <w:r w:rsidR="00963862">
        <w:t xml:space="preserve">Table </w:t>
      </w:r>
      <w:r w:rsidR="00963862">
        <w:rPr>
          <w:noProof/>
        </w:rPr>
        <w:t>16</w:t>
      </w:r>
      <w:r>
        <w:rPr>
          <w:rFonts w:ascii="Calibri" w:eastAsia="Microsoft JhengHei" w:hAnsi="Calibri"/>
          <w:szCs w:val="22"/>
        </w:rPr>
        <w:fldChar w:fldCharType="end"/>
      </w:r>
      <w:r>
        <w:rPr>
          <w:rFonts w:ascii="Calibri" w:eastAsia="Microsoft JhengHei" w:hAnsi="Calibri"/>
          <w:szCs w:val="22"/>
        </w:rPr>
        <w:t xml:space="preserve"> below disaggregates the direct, indirect, induced and therefore total impacts on the compensation of employees by Maritime industry in Wales. Once again, shipping contributes the most to direct impacts through compensation of employees with £38 million, equivalent to 36% of the Sector total. The next largest industry contribution comes from the marine engineering and scientific industry at £31 million followed by ports industry at £23 million. The largest aggregate impact contribution is credited to the shipping industry which contributed £91 million in 2017, equivalent to 40% of the total aggregate impacts from the Sector in 2017. </w:t>
      </w:r>
    </w:p>
    <w:p w14:paraId="0CDA6822" w14:textId="401A8616" w:rsidR="00897D79" w:rsidRDefault="00897D79" w:rsidP="00897D79">
      <w:pPr>
        <w:pStyle w:val="Caption"/>
        <w:keepNext/>
      </w:pPr>
      <w:bookmarkStart w:id="83" w:name="_Ref490058703"/>
      <w:r>
        <w:t xml:space="preserve">Table </w:t>
      </w:r>
      <w:r>
        <w:rPr>
          <w:noProof/>
        </w:rPr>
        <w:fldChar w:fldCharType="begin"/>
      </w:r>
      <w:r>
        <w:rPr>
          <w:noProof/>
        </w:rPr>
        <w:instrText xml:space="preserve"> SEQ Table \* ARABIC </w:instrText>
      </w:r>
      <w:r>
        <w:rPr>
          <w:noProof/>
        </w:rPr>
        <w:fldChar w:fldCharType="separate"/>
      </w:r>
      <w:r w:rsidR="00963862">
        <w:rPr>
          <w:noProof/>
        </w:rPr>
        <w:t>16</w:t>
      </w:r>
      <w:r>
        <w:rPr>
          <w:noProof/>
        </w:rPr>
        <w:fldChar w:fldCharType="end"/>
      </w:r>
      <w:bookmarkEnd w:id="83"/>
      <w:r>
        <w:t xml:space="preserve">: </w:t>
      </w:r>
      <w:r w:rsidRPr="00C14351">
        <w:t xml:space="preserve">Impact through the compensation of employees by each Maritime industry in </w:t>
      </w:r>
      <w:r w:rsidR="00CD65E7">
        <w:t>Wales,</w:t>
      </w:r>
      <w:r>
        <w:t xml:space="preserve"> 2017</w:t>
      </w:r>
      <w:r w:rsidRPr="00C14351">
        <w:t>, £ million</w:t>
      </w:r>
    </w:p>
    <w:tbl>
      <w:tblPr>
        <w:tblW w:w="9397" w:type="dxa"/>
        <w:tblLook w:val="04A0" w:firstRow="1" w:lastRow="0" w:firstColumn="1" w:lastColumn="0" w:noHBand="0" w:noVBand="1"/>
      </w:tblPr>
      <w:tblGrid>
        <w:gridCol w:w="3760"/>
        <w:gridCol w:w="1374"/>
        <w:gridCol w:w="1421"/>
        <w:gridCol w:w="1421"/>
        <w:gridCol w:w="1421"/>
      </w:tblGrid>
      <w:tr w:rsidR="00897D79" w:rsidRPr="00EE1652" w14:paraId="20618E83" w14:textId="77777777" w:rsidTr="009B4BDF">
        <w:trPr>
          <w:trHeight w:val="600"/>
        </w:trPr>
        <w:tc>
          <w:tcPr>
            <w:tcW w:w="3760" w:type="dxa"/>
            <w:tcBorders>
              <w:top w:val="single" w:sz="8" w:space="0" w:color="FFFFFF"/>
              <w:left w:val="nil"/>
              <w:bottom w:val="single" w:sz="12" w:space="0" w:color="FFFFFF"/>
              <w:right w:val="single" w:sz="8" w:space="0" w:color="FFFFFF"/>
            </w:tcBorders>
            <w:shd w:val="clear" w:color="000000" w:fill="008C9B"/>
            <w:vAlign w:val="center"/>
            <w:hideMark/>
          </w:tcPr>
          <w:p w14:paraId="31D99C72" w14:textId="77777777" w:rsidR="00897D79" w:rsidRPr="00EE1652" w:rsidRDefault="00897D79" w:rsidP="00916197">
            <w:pPr>
              <w:spacing w:after="0"/>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Compensation of Employees in 2017</w:t>
            </w:r>
          </w:p>
        </w:tc>
        <w:tc>
          <w:tcPr>
            <w:tcW w:w="1374" w:type="dxa"/>
            <w:tcBorders>
              <w:top w:val="single" w:sz="8" w:space="0" w:color="FFFFFF"/>
              <w:left w:val="nil"/>
              <w:bottom w:val="single" w:sz="12" w:space="0" w:color="FFFFFF"/>
              <w:right w:val="single" w:sz="8" w:space="0" w:color="FFFFFF"/>
            </w:tcBorders>
            <w:shd w:val="clear" w:color="000000" w:fill="008C9B"/>
            <w:vAlign w:val="center"/>
            <w:hideMark/>
          </w:tcPr>
          <w:p w14:paraId="04538ED2" w14:textId="16E46548"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Direct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149AB3C2" w14:textId="530E33CD"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Indirect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0DEEC610" w14:textId="62E62599"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Induced Impact</w:t>
            </w:r>
            <w:r w:rsidR="009B4BDF">
              <w:rPr>
                <w:rFonts w:ascii="Calibri" w:eastAsia="Times New Roman" w:hAnsi="Calibri"/>
                <w:b/>
                <w:bCs/>
                <w:color w:val="FFFFFF"/>
                <w:sz w:val="20"/>
                <w:lang w:eastAsia="en-GB"/>
              </w:rPr>
              <w:t xml:space="preserve"> (£m)</w:t>
            </w:r>
          </w:p>
        </w:tc>
        <w:tc>
          <w:tcPr>
            <w:tcW w:w="1421" w:type="dxa"/>
            <w:tcBorders>
              <w:top w:val="single" w:sz="8" w:space="0" w:color="FFFFFF"/>
              <w:left w:val="nil"/>
              <w:bottom w:val="single" w:sz="12" w:space="0" w:color="FFFFFF"/>
              <w:right w:val="single" w:sz="8" w:space="0" w:color="FFFFFF"/>
            </w:tcBorders>
            <w:shd w:val="clear" w:color="000000" w:fill="008C9B"/>
            <w:vAlign w:val="center"/>
            <w:hideMark/>
          </w:tcPr>
          <w:p w14:paraId="1C310A37" w14:textId="323D4E87"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Aggregate Impact</w:t>
            </w:r>
            <w:r w:rsidR="009B4BDF">
              <w:rPr>
                <w:rFonts w:ascii="Calibri" w:eastAsia="Times New Roman" w:hAnsi="Calibri"/>
                <w:b/>
                <w:bCs/>
                <w:color w:val="FFFFFF"/>
                <w:sz w:val="20"/>
                <w:lang w:eastAsia="en-GB"/>
              </w:rPr>
              <w:t xml:space="preserve"> (£m)</w:t>
            </w:r>
          </w:p>
        </w:tc>
      </w:tr>
      <w:tr w:rsidR="00897D79" w:rsidRPr="00EE1652" w14:paraId="3998F47A" w14:textId="77777777" w:rsidTr="009B4BDF">
        <w:trPr>
          <w:trHeight w:val="377"/>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59A509B6" w14:textId="77777777" w:rsidR="00897D79" w:rsidRPr="00EE1652" w:rsidRDefault="00897D79" w:rsidP="00916197">
            <w:pPr>
              <w:spacing w:after="0"/>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TOTAL</w:t>
            </w:r>
          </w:p>
        </w:tc>
        <w:tc>
          <w:tcPr>
            <w:tcW w:w="1374" w:type="dxa"/>
            <w:tcBorders>
              <w:top w:val="nil"/>
              <w:left w:val="nil"/>
              <w:bottom w:val="single" w:sz="8" w:space="0" w:color="FFFFFF"/>
              <w:right w:val="single" w:sz="8" w:space="0" w:color="FFFFFF"/>
            </w:tcBorders>
            <w:shd w:val="clear" w:color="000000" w:fill="E7EEEF"/>
            <w:vAlign w:val="center"/>
            <w:hideMark/>
          </w:tcPr>
          <w:p w14:paraId="2B7267F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105</w:t>
            </w:r>
          </w:p>
        </w:tc>
        <w:tc>
          <w:tcPr>
            <w:tcW w:w="1421" w:type="dxa"/>
            <w:tcBorders>
              <w:top w:val="nil"/>
              <w:left w:val="nil"/>
              <w:bottom w:val="single" w:sz="8" w:space="0" w:color="FFFFFF"/>
              <w:right w:val="single" w:sz="8" w:space="0" w:color="FFFFFF"/>
            </w:tcBorders>
            <w:shd w:val="clear" w:color="000000" w:fill="E7EEEF"/>
            <w:vAlign w:val="center"/>
            <w:hideMark/>
          </w:tcPr>
          <w:p w14:paraId="5F0AD78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83</w:t>
            </w:r>
          </w:p>
        </w:tc>
        <w:tc>
          <w:tcPr>
            <w:tcW w:w="1421" w:type="dxa"/>
            <w:tcBorders>
              <w:top w:val="nil"/>
              <w:left w:val="nil"/>
              <w:bottom w:val="single" w:sz="8" w:space="0" w:color="FFFFFF"/>
              <w:right w:val="single" w:sz="8" w:space="0" w:color="FFFFFF"/>
            </w:tcBorders>
            <w:shd w:val="clear" w:color="000000" w:fill="E7EEEF"/>
            <w:vAlign w:val="center"/>
            <w:hideMark/>
          </w:tcPr>
          <w:p w14:paraId="3DFA3DD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38</w:t>
            </w:r>
          </w:p>
        </w:tc>
        <w:tc>
          <w:tcPr>
            <w:tcW w:w="1421" w:type="dxa"/>
            <w:tcBorders>
              <w:top w:val="nil"/>
              <w:left w:val="nil"/>
              <w:bottom w:val="single" w:sz="8" w:space="0" w:color="FFFFFF"/>
              <w:right w:val="single" w:sz="8" w:space="0" w:color="FFFFFF"/>
            </w:tcBorders>
            <w:shd w:val="clear" w:color="000000" w:fill="E7EEEF"/>
            <w:vAlign w:val="center"/>
            <w:hideMark/>
          </w:tcPr>
          <w:p w14:paraId="4424247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226</w:t>
            </w:r>
          </w:p>
        </w:tc>
      </w:tr>
      <w:tr w:rsidR="00897D79" w:rsidRPr="00EE1652" w14:paraId="78E12A91"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3BE7CC14"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Shipping</w:t>
            </w:r>
          </w:p>
        </w:tc>
        <w:tc>
          <w:tcPr>
            <w:tcW w:w="1374" w:type="dxa"/>
            <w:tcBorders>
              <w:top w:val="nil"/>
              <w:left w:val="nil"/>
              <w:bottom w:val="single" w:sz="8" w:space="0" w:color="FFFFFF"/>
              <w:right w:val="single" w:sz="8" w:space="0" w:color="FFFFFF"/>
            </w:tcBorders>
            <w:shd w:val="clear" w:color="000000" w:fill="D0CECE"/>
            <w:vAlign w:val="center"/>
            <w:hideMark/>
          </w:tcPr>
          <w:p w14:paraId="468CFA59"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38</w:t>
            </w:r>
          </w:p>
        </w:tc>
        <w:tc>
          <w:tcPr>
            <w:tcW w:w="1421" w:type="dxa"/>
            <w:tcBorders>
              <w:top w:val="nil"/>
              <w:left w:val="nil"/>
              <w:bottom w:val="single" w:sz="8" w:space="0" w:color="FFFFFF"/>
              <w:right w:val="single" w:sz="8" w:space="0" w:color="FFFFFF"/>
            </w:tcBorders>
            <w:shd w:val="clear" w:color="000000" w:fill="D0CECE"/>
            <w:vAlign w:val="center"/>
            <w:hideMark/>
          </w:tcPr>
          <w:p w14:paraId="296D156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w:t>
            </w:r>
          </w:p>
        </w:tc>
        <w:tc>
          <w:tcPr>
            <w:tcW w:w="1421" w:type="dxa"/>
            <w:tcBorders>
              <w:top w:val="nil"/>
              <w:left w:val="nil"/>
              <w:bottom w:val="single" w:sz="8" w:space="0" w:color="FFFFFF"/>
              <w:right w:val="single" w:sz="8" w:space="0" w:color="FFFFFF"/>
            </w:tcBorders>
            <w:shd w:val="clear" w:color="000000" w:fill="D0CECE"/>
            <w:vAlign w:val="center"/>
            <w:hideMark/>
          </w:tcPr>
          <w:p w14:paraId="58DBE26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15</w:t>
            </w:r>
          </w:p>
        </w:tc>
        <w:tc>
          <w:tcPr>
            <w:tcW w:w="1421" w:type="dxa"/>
            <w:tcBorders>
              <w:top w:val="nil"/>
              <w:left w:val="nil"/>
              <w:bottom w:val="single" w:sz="8" w:space="0" w:color="FFFFFF"/>
              <w:right w:val="single" w:sz="8" w:space="0" w:color="FFFFFF"/>
            </w:tcBorders>
            <w:shd w:val="clear" w:color="000000" w:fill="D0CECE"/>
            <w:vAlign w:val="center"/>
            <w:hideMark/>
          </w:tcPr>
          <w:p w14:paraId="068A0B5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91</w:t>
            </w:r>
          </w:p>
        </w:tc>
      </w:tr>
      <w:tr w:rsidR="00897D79" w:rsidRPr="00EE1652" w14:paraId="297B1A8C"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12AFE7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Ports</w:t>
            </w:r>
          </w:p>
        </w:tc>
        <w:tc>
          <w:tcPr>
            <w:tcW w:w="1374" w:type="dxa"/>
            <w:tcBorders>
              <w:top w:val="nil"/>
              <w:left w:val="nil"/>
              <w:bottom w:val="single" w:sz="8" w:space="0" w:color="FFFFFF"/>
              <w:right w:val="single" w:sz="8" w:space="0" w:color="FFFFFF"/>
            </w:tcBorders>
            <w:shd w:val="clear" w:color="000000" w:fill="E7EEEF"/>
            <w:vAlign w:val="center"/>
            <w:hideMark/>
          </w:tcPr>
          <w:p w14:paraId="197072B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23</w:t>
            </w:r>
          </w:p>
        </w:tc>
        <w:tc>
          <w:tcPr>
            <w:tcW w:w="1421" w:type="dxa"/>
            <w:tcBorders>
              <w:top w:val="nil"/>
              <w:left w:val="nil"/>
              <w:bottom w:val="single" w:sz="8" w:space="0" w:color="FFFFFF"/>
              <w:right w:val="single" w:sz="8" w:space="0" w:color="FFFFFF"/>
            </w:tcBorders>
            <w:shd w:val="clear" w:color="000000" w:fill="E7EEEF"/>
            <w:vAlign w:val="center"/>
            <w:hideMark/>
          </w:tcPr>
          <w:p w14:paraId="09ECE651"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15</w:t>
            </w:r>
          </w:p>
        </w:tc>
        <w:tc>
          <w:tcPr>
            <w:tcW w:w="1421" w:type="dxa"/>
            <w:tcBorders>
              <w:top w:val="nil"/>
              <w:left w:val="nil"/>
              <w:bottom w:val="single" w:sz="8" w:space="0" w:color="FFFFFF"/>
              <w:right w:val="single" w:sz="8" w:space="0" w:color="FFFFFF"/>
            </w:tcBorders>
            <w:shd w:val="clear" w:color="000000" w:fill="E7EEEF"/>
            <w:vAlign w:val="center"/>
            <w:hideMark/>
          </w:tcPr>
          <w:p w14:paraId="604C681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8</w:t>
            </w:r>
          </w:p>
        </w:tc>
        <w:tc>
          <w:tcPr>
            <w:tcW w:w="1421" w:type="dxa"/>
            <w:tcBorders>
              <w:top w:val="nil"/>
              <w:left w:val="nil"/>
              <w:bottom w:val="single" w:sz="8" w:space="0" w:color="FFFFFF"/>
              <w:right w:val="single" w:sz="8" w:space="0" w:color="FFFFFF"/>
            </w:tcBorders>
            <w:shd w:val="clear" w:color="000000" w:fill="E7EEEF"/>
            <w:vAlign w:val="center"/>
            <w:hideMark/>
          </w:tcPr>
          <w:p w14:paraId="6E435E0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46</w:t>
            </w:r>
          </w:p>
        </w:tc>
      </w:tr>
      <w:tr w:rsidR="00897D79" w:rsidRPr="00EE1652" w14:paraId="1EBB5B6B"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2B624D4"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Leisure Marine</w:t>
            </w:r>
          </w:p>
        </w:tc>
        <w:tc>
          <w:tcPr>
            <w:tcW w:w="1374" w:type="dxa"/>
            <w:tcBorders>
              <w:top w:val="nil"/>
              <w:left w:val="nil"/>
              <w:bottom w:val="single" w:sz="8" w:space="0" w:color="FFFFFF"/>
              <w:right w:val="single" w:sz="8" w:space="0" w:color="FFFFFF"/>
            </w:tcBorders>
            <w:shd w:val="clear" w:color="000000" w:fill="D0CECE"/>
            <w:vAlign w:val="center"/>
            <w:hideMark/>
          </w:tcPr>
          <w:p w14:paraId="50AFCD2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w:t>
            </w:r>
          </w:p>
        </w:tc>
        <w:tc>
          <w:tcPr>
            <w:tcW w:w="1421" w:type="dxa"/>
            <w:tcBorders>
              <w:top w:val="nil"/>
              <w:left w:val="nil"/>
              <w:bottom w:val="single" w:sz="8" w:space="0" w:color="FFFFFF"/>
              <w:right w:val="single" w:sz="8" w:space="0" w:color="FFFFFF"/>
            </w:tcBorders>
            <w:shd w:val="clear" w:color="000000" w:fill="D0CECE"/>
            <w:vAlign w:val="center"/>
            <w:hideMark/>
          </w:tcPr>
          <w:p w14:paraId="035E3FF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w:t>
            </w:r>
          </w:p>
        </w:tc>
        <w:tc>
          <w:tcPr>
            <w:tcW w:w="1421" w:type="dxa"/>
            <w:tcBorders>
              <w:top w:val="nil"/>
              <w:left w:val="nil"/>
              <w:bottom w:val="single" w:sz="8" w:space="0" w:color="FFFFFF"/>
              <w:right w:val="single" w:sz="8" w:space="0" w:color="FFFFFF"/>
            </w:tcBorders>
            <w:shd w:val="clear" w:color="000000" w:fill="D0CECE"/>
            <w:vAlign w:val="center"/>
            <w:hideMark/>
          </w:tcPr>
          <w:p w14:paraId="51C9993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w:t>
            </w:r>
          </w:p>
        </w:tc>
        <w:tc>
          <w:tcPr>
            <w:tcW w:w="1421" w:type="dxa"/>
            <w:tcBorders>
              <w:top w:val="nil"/>
              <w:left w:val="nil"/>
              <w:bottom w:val="single" w:sz="8" w:space="0" w:color="FFFFFF"/>
              <w:right w:val="single" w:sz="8" w:space="0" w:color="FFFFFF"/>
            </w:tcBorders>
            <w:shd w:val="clear" w:color="000000" w:fill="D0CECE"/>
            <w:vAlign w:val="center"/>
            <w:hideMark/>
          </w:tcPr>
          <w:p w14:paraId="3E069CD5"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17</w:t>
            </w:r>
          </w:p>
        </w:tc>
      </w:tr>
      <w:tr w:rsidR="00897D79" w:rsidRPr="00EE1652" w14:paraId="01A029C5"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14AEC8A7"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Marine Engineering</w:t>
            </w:r>
          </w:p>
        </w:tc>
        <w:tc>
          <w:tcPr>
            <w:tcW w:w="1374" w:type="dxa"/>
            <w:tcBorders>
              <w:top w:val="nil"/>
              <w:left w:val="nil"/>
              <w:bottom w:val="single" w:sz="8" w:space="0" w:color="FFFFFF"/>
              <w:right w:val="single" w:sz="8" w:space="0" w:color="FFFFFF"/>
            </w:tcBorders>
            <w:shd w:val="clear" w:color="000000" w:fill="E7EEEF"/>
            <w:vAlign w:val="center"/>
            <w:hideMark/>
          </w:tcPr>
          <w:p w14:paraId="10546BA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31</w:t>
            </w:r>
          </w:p>
        </w:tc>
        <w:tc>
          <w:tcPr>
            <w:tcW w:w="1421" w:type="dxa"/>
            <w:tcBorders>
              <w:top w:val="nil"/>
              <w:left w:val="nil"/>
              <w:bottom w:val="single" w:sz="8" w:space="0" w:color="FFFFFF"/>
              <w:right w:val="single" w:sz="8" w:space="0" w:color="FFFFFF"/>
            </w:tcBorders>
            <w:shd w:val="clear" w:color="000000" w:fill="E7EEEF"/>
            <w:vAlign w:val="center"/>
            <w:hideMark/>
          </w:tcPr>
          <w:p w14:paraId="11B306B1"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24</w:t>
            </w:r>
          </w:p>
        </w:tc>
        <w:tc>
          <w:tcPr>
            <w:tcW w:w="1421" w:type="dxa"/>
            <w:tcBorders>
              <w:top w:val="nil"/>
              <w:left w:val="nil"/>
              <w:bottom w:val="single" w:sz="8" w:space="0" w:color="FFFFFF"/>
              <w:right w:val="single" w:sz="8" w:space="0" w:color="FFFFFF"/>
            </w:tcBorders>
            <w:shd w:val="clear" w:color="000000" w:fill="E7EEEF"/>
            <w:vAlign w:val="center"/>
            <w:hideMark/>
          </w:tcPr>
          <w:p w14:paraId="1C14750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w:t>
            </w:r>
          </w:p>
        </w:tc>
        <w:tc>
          <w:tcPr>
            <w:tcW w:w="1421" w:type="dxa"/>
            <w:tcBorders>
              <w:top w:val="nil"/>
              <w:left w:val="nil"/>
              <w:bottom w:val="single" w:sz="8" w:space="0" w:color="FFFFFF"/>
              <w:right w:val="single" w:sz="8" w:space="0" w:color="FFFFFF"/>
            </w:tcBorders>
            <w:shd w:val="clear" w:color="000000" w:fill="E7EEEF"/>
            <w:vAlign w:val="center"/>
            <w:hideMark/>
          </w:tcPr>
          <w:p w14:paraId="57DAD81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65</w:t>
            </w:r>
          </w:p>
        </w:tc>
      </w:tr>
      <w:tr w:rsidR="00897D79" w:rsidRPr="00EE1652" w14:paraId="4FC21205" w14:textId="77777777" w:rsidTr="009B4BDF">
        <w:trPr>
          <w:trHeight w:val="361"/>
        </w:trPr>
        <w:tc>
          <w:tcPr>
            <w:tcW w:w="3760" w:type="dxa"/>
            <w:tcBorders>
              <w:top w:val="nil"/>
              <w:left w:val="single" w:sz="8" w:space="0" w:color="FFFFFF"/>
              <w:bottom w:val="single" w:sz="8" w:space="0" w:color="FFFFFF"/>
              <w:right w:val="single" w:sz="8" w:space="0" w:color="FFFFFF"/>
            </w:tcBorders>
            <w:shd w:val="clear" w:color="000000" w:fill="008C9B"/>
            <w:vAlign w:val="center"/>
            <w:hideMark/>
          </w:tcPr>
          <w:p w14:paraId="786F2E60"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Maritime Business Services</w:t>
            </w:r>
          </w:p>
        </w:tc>
        <w:tc>
          <w:tcPr>
            <w:tcW w:w="1374" w:type="dxa"/>
            <w:tcBorders>
              <w:top w:val="nil"/>
              <w:left w:val="nil"/>
              <w:bottom w:val="single" w:sz="8" w:space="0" w:color="FFFFFF"/>
              <w:right w:val="single" w:sz="8" w:space="0" w:color="FFFFFF"/>
            </w:tcBorders>
            <w:shd w:val="clear" w:color="000000" w:fill="D0CECE"/>
            <w:vAlign w:val="center"/>
            <w:hideMark/>
          </w:tcPr>
          <w:p w14:paraId="5C53017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w:t>
            </w:r>
          </w:p>
        </w:tc>
        <w:tc>
          <w:tcPr>
            <w:tcW w:w="1421" w:type="dxa"/>
            <w:tcBorders>
              <w:top w:val="nil"/>
              <w:left w:val="nil"/>
              <w:bottom w:val="single" w:sz="8" w:space="0" w:color="FFFFFF"/>
              <w:right w:val="single" w:sz="8" w:space="0" w:color="FFFFFF"/>
            </w:tcBorders>
            <w:shd w:val="clear" w:color="000000" w:fill="D0CECE"/>
            <w:vAlign w:val="center"/>
            <w:hideMark/>
          </w:tcPr>
          <w:p w14:paraId="776C7A3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w:t>
            </w:r>
          </w:p>
        </w:tc>
        <w:tc>
          <w:tcPr>
            <w:tcW w:w="1421" w:type="dxa"/>
            <w:tcBorders>
              <w:top w:val="nil"/>
              <w:left w:val="nil"/>
              <w:bottom w:val="single" w:sz="8" w:space="0" w:color="FFFFFF"/>
              <w:right w:val="single" w:sz="8" w:space="0" w:color="FFFFFF"/>
            </w:tcBorders>
            <w:shd w:val="clear" w:color="000000" w:fill="D0CECE"/>
            <w:vAlign w:val="center"/>
            <w:hideMark/>
          </w:tcPr>
          <w:p w14:paraId="1799621B"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w:t>
            </w:r>
          </w:p>
        </w:tc>
        <w:tc>
          <w:tcPr>
            <w:tcW w:w="1421" w:type="dxa"/>
            <w:tcBorders>
              <w:top w:val="nil"/>
              <w:left w:val="nil"/>
              <w:bottom w:val="single" w:sz="8" w:space="0" w:color="FFFFFF"/>
              <w:right w:val="single" w:sz="8" w:space="0" w:color="FFFFFF"/>
            </w:tcBorders>
            <w:shd w:val="clear" w:color="000000" w:fill="D0CECE"/>
            <w:vAlign w:val="center"/>
            <w:hideMark/>
          </w:tcPr>
          <w:p w14:paraId="72555C4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7</w:t>
            </w:r>
          </w:p>
        </w:tc>
      </w:tr>
    </w:tbl>
    <w:p w14:paraId="633A17F7" w14:textId="77777777" w:rsidR="00897D79" w:rsidRPr="00C81A27" w:rsidRDefault="00897D79" w:rsidP="00897D79">
      <w:pPr>
        <w:jc w:val="right"/>
        <w:rPr>
          <w:rFonts w:ascii="Calibri" w:eastAsia="Microsoft JhengHei" w:hAnsi="Calibri"/>
          <w:szCs w:val="22"/>
        </w:rPr>
      </w:pPr>
      <w:r w:rsidRPr="00C81A27">
        <w:rPr>
          <w:rStyle w:val="SubtleEmphasis"/>
          <w:color w:val="auto"/>
          <w:sz w:val="18"/>
        </w:rPr>
        <w:t>Source: ONS, FAME, Cebr analysis</w:t>
      </w:r>
    </w:p>
    <w:p w14:paraId="46B649E1" w14:textId="77777777" w:rsidR="00897D79" w:rsidRPr="002A3EA6" w:rsidRDefault="00897D79" w:rsidP="00897D79">
      <w:r>
        <w:fldChar w:fldCharType="begin"/>
      </w:r>
      <w:r>
        <w:instrText xml:space="preserve"> REF _Ref490059057 \h </w:instrText>
      </w:r>
      <w:r>
        <w:fldChar w:fldCharType="separate"/>
      </w:r>
      <w:r w:rsidR="00963862">
        <w:t xml:space="preserve">Table </w:t>
      </w:r>
      <w:r w:rsidR="00963862">
        <w:rPr>
          <w:noProof/>
        </w:rPr>
        <w:t>17</w:t>
      </w:r>
      <w:r>
        <w:fldChar w:fldCharType="end"/>
      </w:r>
      <w:r>
        <w:t xml:space="preserve"> below illustrates the total impact through the compensation of employees in each year since 2010. Following the trend from previous macroeconomic indicators, the direct and aggregate impacts were significantly lower in 2017 than in previous years. Both direct and total impacts have more than halved in size from 2010 to 2017. However, the composite employee multipliers have remained relatively stable across each year, such that the differences in total impact can be attributed largely to differences in the size of direct impact. </w:t>
      </w:r>
    </w:p>
    <w:p w14:paraId="5A3D0CD6" w14:textId="77777777" w:rsidR="00897D79" w:rsidRDefault="00897D79" w:rsidP="00897D79"/>
    <w:p w14:paraId="323D9235" w14:textId="77777777" w:rsidR="00897D79" w:rsidRPr="00920E90" w:rsidRDefault="00897D79" w:rsidP="00897D79"/>
    <w:p w14:paraId="7F1ECB6C" w14:textId="3401AEEB" w:rsidR="00897D79" w:rsidRDefault="00897D79" w:rsidP="00897D79">
      <w:pPr>
        <w:pStyle w:val="Caption"/>
        <w:keepNext/>
      </w:pPr>
      <w:bookmarkStart w:id="84" w:name="_Ref490059057"/>
      <w:r>
        <w:lastRenderedPageBreak/>
        <w:t xml:space="preserve">Table </w:t>
      </w:r>
      <w:r>
        <w:rPr>
          <w:noProof/>
        </w:rPr>
        <w:fldChar w:fldCharType="begin"/>
      </w:r>
      <w:r>
        <w:rPr>
          <w:noProof/>
        </w:rPr>
        <w:instrText xml:space="preserve"> SEQ Table \* ARABIC </w:instrText>
      </w:r>
      <w:r>
        <w:rPr>
          <w:noProof/>
        </w:rPr>
        <w:fldChar w:fldCharType="separate"/>
      </w:r>
      <w:r w:rsidR="00963862">
        <w:rPr>
          <w:noProof/>
        </w:rPr>
        <w:t>17</w:t>
      </w:r>
      <w:r>
        <w:rPr>
          <w:noProof/>
        </w:rPr>
        <w:fldChar w:fldCharType="end"/>
      </w:r>
      <w:bookmarkEnd w:id="84"/>
      <w:r>
        <w:t xml:space="preserve">: </w:t>
      </w:r>
      <w:r w:rsidR="009B4BDF">
        <w:t>Direct and aggregate</w:t>
      </w:r>
      <w:r w:rsidRPr="00BA36CA">
        <w:t xml:space="preserve"> impact through the compensation of employees </w:t>
      </w:r>
      <w:r>
        <w:t xml:space="preserve">of the </w:t>
      </w:r>
      <w:r w:rsidR="00654BBE">
        <w:t>Maritime Sector</w:t>
      </w:r>
      <w:r w:rsidRPr="00BA36CA">
        <w:t xml:space="preserve"> in </w:t>
      </w:r>
      <w:r>
        <w:t>Wales, 2010 to 2017</w:t>
      </w:r>
      <w:r w:rsidRPr="00BA36CA">
        <w:t>, £ million</w:t>
      </w:r>
    </w:p>
    <w:tbl>
      <w:tblPr>
        <w:tblW w:w="9340" w:type="dxa"/>
        <w:tblLook w:val="04A0" w:firstRow="1" w:lastRow="0" w:firstColumn="1" w:lastColumn="0" w:noHBand="0" w:noVBand="1"/>
      </w:tblPr>
      <w:tblGrid>
        <w:gridCol w:w="863"/>
        <w:gridCol w:w="2592"/>
        <w:gridCol w:w="3105"/>
        <w:gridCol w:w="2780"/>
      </w:tblGrid>
      <w:tr w:rsidR="00897D79" w:rsidRPr="00EE1652" w14:paraId="27797580" w14:textId="77777777" w:rsidTr="009B4BDF">
        <w:trPr>
          <w:trHeight w:val="534"/>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5B6EFC1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Year</w:t>
            </w:r>
          </w:p>
        </w:tc>
        <w:tc>
          <w:tcPr>
            <w:tcW w:w="2592" w:type="dxa"/>
            <w:tcBorders>
              <w:top w:val="single" w:sz="8" w:space="0" w:color="FFFFFF"/>
              <w:left w:val="nil"/>
              <w:bottom w:val="single" w:sz="12" w:space="0" w:color="FFFFFF"/>
              <w:right w:val="single" w:sz="8" w:space="0" w:color="FFFFFF"/>
            </w:tcBorders>
            <w:shd w:val="clear" w:color="000000" w:fill="008C9B"/>
            <w:vAlign w:val="center"/>
            <w:hideMark/>
          </w:tcPr>
          <w:p w14:paraId="4BC938E6" w14:textId="7DCC3D5B"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Direct Impact</w:t>
            </w:r>
            <w:r w:rsidR="009B4BDF">
              <w:rPr>
                <w:rFonts w:ascii="Calibri" w:eastAsia="Times New Roman" w:hAnsi="Calibri"/>
                <w:b/>
                <w:bCs/>
                <w:color w:val="FFFFFF"/>
                <w:sz w:val="20"/>
                <w:lang w:eastAsia="en-GB"/>
              </w:rPr>
              <w:t xml:space="preserve"> (£m)</w:t>
            </w:r>
          </w:p>
        </w:tc>
        <w:tc>
          <w:tcPr>
            <w:tcW w:w="3105" w:type="dxa"/>
            <w:tcBorders>
              <w:top w:val="single" w:sz="8" w:space="0" w:color="FFFFFF"/>
              <w:left w:val="nil"/>
              <w:bottom w:val="single" w:sz="12" w:space="0" w:color="FFFFFF"/>
              <w:right w:val="single" w:sz="8" w:space="0" w:color="FFFFFF"/>
            </w:tcBorders>
            <w:shd w:val="clear" w:color="000000" w:fill="008C9B"/>
            <w:vAlign w:val="center"/>
            <w:hideMark/>
          </w:tcPr>
          <w:p w14:paraId="01989AC9" w14:textId="77777777"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Composite Employee Compensation multiplier</w:t>
            </w:r>
          </w:p>
        </w:tc>
        <w:tc>
          <w:tcPr>
            <w:tcW w:w="2780" w:type="dxa"/>
            <w:tcBorders>
              <w:top w:val="single" w:sz="8" w:space="0" w:color="FFFFFF"/>
              <w:left w:val="nil"/>
              <w:bottom w:val="single" w:sz="12" w:space="0" w:color="FFFFFF"/>
              <w:right w:val="single" w:sz="8" w:space="0" w:color="FFFFFF"/>
            </w:tcBorders>
            <w:shd w:val="clear" w:color="000000" w:fill="008C9B"/>
            <w:vAlign w:val="center"/>
            <w:hideMark/>
          </w:tcPr>
          <w:p w14:paraId="5676D295" w14:textId="1F5AC36C" w:rsidR="00897D79" w:rsidRPr="00EE1652" w:rsidRDefault="00897D79" w:rsidP="00916197">
            <w:pPr>
              <w:spacing w:after="0"/>
              <w:jc w:val="center"/>
              <w:rPr>
                <w:rFonts w:ascii="Calibri" w:eastAsia="Times New Roman" w:hAnsi="Calibri"/>
                <w:b/>
                <w:bCs/>
                <w:color w:val="FFFFFF"/>
                <w:sz w:val="20"/>
                <w:lang w:eastAsia="en-GB"/>
              </w:rPr>
            </w:pPr>
            <w:r w:rsidRPr="00EE1652">
              <w:rPr>
                <w:rFonts w:ascii="Calibri" w:eastAsia="Times New Roman" w:hAnsi="Calibri"/>
                <w:b/>
                <w:bCs/>
                <w:color w:val="FFFFFF"/>
                <w:sz w:val="20"/>
                <w:lang w:eastAsia="en-GB"/>
              </w:rPr>
              <w:t>Aggregate impact</w:t>
            </w:r>
            <w:r w:rsidR="009B4BDF">
              <w:rPr>
                <w:rFonts w:ascii="Calibri" w:eastAsia="Times New Roman" w:hAnsi="Calibri"/>
                <w:b/>
                <w:bCs/>
                <w:color w:val="FFFFFF"/>
                <w:sz w:val="20"/>
                <w:lang w:eastAsia="en-GB"/>
              </w:rPr>
              <w:t xml:space="preserve"> (£m)</w:t>
            </w:r>
          </w:p>
        </w:tc>
      </w:tr>
      <w:tr w:rsidR="00897D79" w:rsidRPr="00EE1652" w14:paraId="2EB2A709" w14:textId="77777777" w:rsidTr="009B4BDF">
        <w:trPr>
          <w:trHeight w:val="335"/>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799D667F"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2010</w:t>
            </w:r>
          </w:p>
        </w:tc>
        <w:tc>
          <w:tcPr>
            <w:tcW w:w="2592" w:type="dxa"/>
            <w:tcBorders>
              <w:top w:val="nil"/>
              <w:left w:val="nil"/>
              <w:bottom w:val="single" w:sz="8" w:space="0" w:color="FFFFFF"/>
              <w:right w:val="single" w:sz="8" w:space="0" w:color="FFFFFF"/>
            </w:tcBorders>
            <w:shd w:val="clear" w:color="000000" w:fill="E7EEEF"/>
            <w:vAlign w:val="center"/>
            <w:hideMark/>
          </w:tcPr>
          <w:p w14:paraId="2671FC6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247</w:t>
            </w:r>
          </w:p>
        </w:tc>
        <w:tc>
          <w:tcPr>
            <w:tcW w:w="3105" w:type="dxa"/>
            <w:tcBorders>
              <w:top w:val="nil"/>
              <w:left w:val="nil"/>
              <w:bottom w:val="single" w:sz="8" w:space="0" w:color="FFFFFF"/>
              <w:right w:val="single" w:sz="8" w:space="0" w:color="FFFFFF"/>
            </w:tcBorders>
            <w:shd w:val="clear" w:color="000000" w:fill="E7EEEF"/>
            <w:vAlign w:val="center"/>
            <w:hideMark/>
          </w:tcPr>
          <w:p w14:paraId="7DED4618"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2.23</w:t>
            </w:r>
          </w:p>
        </w:tc>
        <w:tc>
          <w:tcPr>
            <w:tcW w:w="2780" w:type="dxa"/>
            <w:tcBorders>
              <w:top w:val="nil"/>
              <w:left w:val="nil"/>
              <w:bottom w:val="single" w:sz="8" w:space="0" w:color="FFFFFF"/>
              <w:right w:val="single" w:sz="8" w:space="0" w:color="FFFFFF"/>
            </w:tcBorders>
            <w:shd w:val="clear" w:color="000000" w:fill="E7EEEF"/>
            <w:vAlign w:val="center"/>
            <w:hideMark/>
          </w:tcPr>
          <w:p w14:paraId="12A713E3"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551</w:t>
            </w:r>
          </w:p>
        </w:tc>
      </w:tr>
      <w:tr w:rsidR="00897D79" w:rsidRPr="00EE1652" w14:paraId="09645018"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16BEC742"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2011</w:t>
            </w:r>
          </w:p>
        </w:tc>
        <w:tc>
          <w:tcPr>
            <w:tcW w:w="2592" w:type="dxa"/>
            <w:tcBorders>
              <w:top w:val="nil"/>
              <w:left w:val="nil"/>
              <w:bottom w:val="single" w:sz="8" w:space="0" w:color="FFFFFF"/>
              <w:right w:val="single" w:sz="8" w:space="0" w:color="FFFFFF"/>
            </w:tcBorders>
            <w:shd w:val="clear" w:color="000000" w:fill="D0CECE"/>
            <w:vAlign w:val="center"/>
            <w:hideMark/>
          </w:tcPr>
          <w:p w14:paraId="2FEEF14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258</w:t>
            </w:r>
          </w:p>
        </w:tc>
        <w:tc>
          <w:tcPr>
            <w:tcW w:w="3105" w:type="dxa"/>
            <w:tcBorders>
              <w:top w:val="nil"/>
              <w:left w:val="nil"/>
              <w:bottom w:val="single" w:sz="8" w:space="0" w:color="FFFFFF"/>
              <w:right w:val="single" w:sz="8" w:space="0" w:color="FFFFFF"/>
            </w:tcBorders>
            <w:shd w:val="clear" w:color="000000" w:fill="D0CECE"/>
            <w:vAlign w:val="center"/>
            <w:hideMark/>
          </w:tcPr>
          <w:p w14:paraId="7CAB743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D0CECE"/>
            <w:vAlign w:val="center"/>
            <w:hideMark/>
          </w:tcPr>
          <w:p w14:paraId="5895E44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573</w:t>
            </w:r>
          </w:p>
        </w:tc>
      </w:tr>
      <w:tr w:rsidR="00897D79" w:rsidRPr="00EE1652" w14:paraId="08ED0E42"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68614E55"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2012</w:t>
            </w:r>
          </w:p>
        </w:tc>
        <w:tc>
          <w:tcPr>
            <w:tcW w:w="2592" w:type="dxa"/>
            <w:tcBorders>
              <w:top w:val="nil"/>
              <w:left w:val="nil"/>
              <w:bottom w:val="single" w:sz="8" w:space="0" w:color="FFFFFF"/>
              <w:right w:val="single" w:sz="8" w:space="0" w:color="FFFFFF"/>
            </w:tcBorders>
            <w:shd w:val="clear" w:color="000000" w:fill="E7EEEF"/>
            <w:vAlign w:val="center"/>
            <w:hideMark/>
          </w:tcPr>
          <w:p w14:paraId="7806F3C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208</w:t>
            </w:r>
          </w:p>
        </w:tc>
        <w:tc>
          <w:tcPr>
            <w:tcW w:w="3105" w:type="dxa"/>
            <w:tcBorders>
              <w:top w:val="nil"/>
              <w:left w:val="nil"/>
              <w:bottom w:val="single" w:sz="8" w:space="0" w:color="FFFFFF"/>
              <w:right w:val="single" w:sz="8" w:space="0" w:color="FFFFFF"/>
            </w:tcBorders>
            <w:shd w:val="clear" w:color="000000" w:fill="E7EEEF"/>
            <w:vAlign w:val="center"/>
            <w:hideMark/>
          </w:tcPr>
          <w:p w14:paraId="3DC2545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E7EEEF"/>
            <w:vAlign w:val="center"/>
            <w:hideMark/>
          </w:tcPr>
          <w:p w14:paraId="632B2310"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461</w:t>
            </w:r>
          </w:p>
        </w:tc>
      </w:tr>
      <w:tr w:rsidR="00897D79" w:rsidRPr="00EE1652" w14:paraId="48354524"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0948AD9B"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2013</w:t>
            </w:r>
          </w:p>
        </w:tc>
        <w:tc>
          <w:tcPr>
            <w:tcW w:w="2592" w:type="dxa"/>
            <w:tcBorders>
              <w:top w:val="nil"/>
              <w:left w:val="nil"/>
              <w:bottom w:val="single" w:sz="8" w:space="0" w:color="FFFFFF"/>
              <w:right w:val="single" w:sz="8" w:space="0" w:color="FFFFFF"/>
            </w:tcBorders>
            <w:shd w:val="clear" w:color="000000" w:fill="D0CECE"/>
            <w:vAlign w:val="center"/>
            <w:hideMark/>
          </w:tcPr>
          <w:p w14:paraId="4438CC8E"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180</w:t>
            </w:r>
          </w:p>
        </w:tc>
        <w:tc>
          <w:tcPr>
            <w:tcW w:w="3105" w:type="dxa"/>
            <w:tcBorders>
              <w:top w:val="nil"/>
              <w:left w:val="nil"/>
              <w:bottom w:val="single" w:sz="8" w:space="0" w:color="FFFFFF"/>
              <w:right w:val="single" w:sz="8" w:space="0" w:color="FFFFFF"/>
            </w:tcBorders>
            <w:shd w:val="clear" w:color="000000" w:fill="D0CECE"/>
            <w:vAlign w:val="center"/>
            <w:hideMark/>
          </w:tcPr>
          <w:p w14:paraId="520C34B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2.21</w:t>
            </w:r>
          </w:p>
        </w:tc>
        <w:tc>
          <w:tcPr>
            <w:tcW w:w="2780" w:type="dxa"/>
            <w:tcBorders>
              <w:top w:val="nil"/>
              <w:left w:val="nil"/>
              <w:bottom w:val="single" w:sz="8" w:space="0" w:color="FFFFFF"/>
              <w:right w:val="single" w:sz="8" w:space="0" w:color="FFFFFF"/>
            </w:tcBorders>
            <w:shd w:val="clear" w:color="000000" w:fill="D0CECE"/>
            <w:vAlign w:val="center"/>
            <w:hideMark/>
          </w:tcPr>
          <w:p w14:paraId="394FDF4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399</w:t>
            </w:r>
          </w:p>
        </w:tc>
      </w:tr>
      <w:tr w:rsidR="00897D79" w:rsidRPr="00EE1652" w14:paraId="044B7F59"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3EAA3F35"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2014</w:t>
            </w:r>
          </w:p>
        </w:tc>
        <w:tc>
          <w:tcPr>
            <w:tcW w:w="2592" w:type="dxa"/>
            <w:tcBorders>
              <w:top w:val="nil"/>
              <w:left w:val="nil"/>
              <w:bottom w:val="single" w:sz="8" w:space="0" w:color="FFFFFF"/>
              <w:right w:val="single" w:sz="8" w:space="0" w:color="FFFFFF"/>
            </w:tcBorders>
            <w:shd w:val="clear" w:color="000000" w:fill="E7EEEF"/>
            <w:vAlign w:val="center"/>
            <w:hideMark/>
          </w:tcPr>
          <w:p w14:paraId="2447B8E2"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172</w:t>
            </w:r>
          </w:p>
        </w:tc>
        <w:tc>
          <w:tcPr>
            <w:tcW w:w="3105" w:type="dxa"/>
            <w:tcBorders>
              <w:top w:val="nil"/>
              <w:left w:val="nil"/>
              <w:bottom w:val="single" w:sz="8" w:space="0" w:color="FFFFFF"/>
              <w:right w:val="single" w:sz="8" w:space="0" w:color="FFFFFF"/>
            </w:tcBorders>
            <w:shd w:val="clear" w:color="000000" w:fill="E7EEEF"/>
            <w:vAlign w:val="center"/>
            <w:hideMark/>
          </w:tcPr>
          <w:p w14:paraId="6E8C8DC4"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2.20</w:t>
            </w:r>
          </w:p>
        </w:tc>
        <w:tc>
          <w:tcPr>
            <w:tcW w:w="2780" w:type="dxa"/>
            <w:tcBorders>
              <w:top w:val="nil"/>
              <w:left w:val="nil"/>
              <w:bottom w:val="single" w:sz="8" w:space="0" w:color="FFFFFF"/>
              <w:right w:val="single" w:sz="8" w:space="0" w:color="FFFFFF"/>
            </w:tcBorders>
            <w:shd w:val="clear" w:color="000000" w:fill="E7EEEF"/>
            <w:vAlign w:val="center"/>
            <w:hideMark/>
          </w:tcPr>
          <w:p w14:paraId="212785FA"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378</w:t>
            </w:r>
          </w:p>
        </w:tc>
      </w:tr>
      <w:tr w:rsidR="00897D79" w:rsidRPr="00EE1652" w14:paraId="25030750"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5F611D4C"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2015</w:t>
            </w:r>
          </w:p>
        </w:tc>
        <w:tc>
          <w:tcPr>
            <w:tcW w:w="2592" w:type="dxa"/>
            <w:tcBorders>
              <w:top w:val="nil"/>
              <w:left w:val="nil"/>
              <w:bottom w:val="single" w:sz="8" w:space="0" w:color="FFFFFF"/>
              <w:right w:val="single" w:sz="8" w:space="0" w:color="FFFFFF"/>
            </w:tcBorders>
            <w:shd w:val="clear" w:color="000000" w:fill="D0CECE"/>
            <w:vAlign w:val="center"/>
            <w:hideMark/>
          </w:tcPr>
          <w:p w14:paraId="2BADCDA5"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169</w:t>
            </w:r>
          </w:p>
        </w:tc>
        <w:tc>
          <w:tcPr>
            <w:tcW w:w="3105" w:type="dxa"/>
            <w:tcBorders>
              <w:top w:val="nil"/>
              <w:left w:val="nil"/>
              <w:bottom w:val="single" w:sz="8" w:space="0" w:color="FFFFFF"/>
              <w:right w:val="single" w:sz="8" w:space="0" w:color="FFFFFF"/>
            </w:tcBorders>
            <w:shd w:val="clear" w:color="000000" w:fill="D0CECE"/>
            <w:vAlign w:val="center"/>
            <w:hideMark/>
          </w:tcPr>
          <w:p w14:paraId="45B6EF09"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2.20</w:t>
            </w:r>
          </w:p>
        </w:tc>
        <w:tc>
          <w:tcPr>
            <w:tcW w:w="2780" w:type="dxa"/>
            <w:tcBorders>
              <w:top w:val="nil"/>
              <w:left w:val="nil"/>
              <w:bottom w:val="single" w:sz="8" w:space="0" w:color="FFFFFF"/>
              <w:right w:val="single" w:sz="8" w:space="0" w:color="FFFFFF"/>
            </w:tcBorders>
            <w:shd w:val="clear" w:color="000000" w:fill="D0CECE"/>
            <w:vAlign w:val="center"/>
            <w:hideMark/>
          </w:tcPr>
          <w:p w14:paraId="15FCF9AC"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371</w:t>
            </w:r>
          </w:p>
        </w:tc>
      </w:tr>
      <w:tr w:rsidR="00897D79" w:rsidRPr="00EE1652" w14:paraId="15BEAE83"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003C5B03"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2016</w:t>
            </w:r>
          </w:p>
        </w:tc>
        <w:tc>
          <w:tcPr>
            <w:tcW w:w="2592" w:type="dxa"/>
            <w:tcBorders>
              <w:top w:val="nil"/>
              <w:left w:val="nil"/>
              <w:bottom w:val="single" w:sz="8" w:space="0" w:color="FFFFFF"/>
              <w:right w:val="single" w:sz="8" w:space="0" w:color="FFFFFF"/>
            </w:tcBorders>
            <w:shd w:val="clear" w:color="000000" w:fill="E7EEEF"/>
            <w:vAlign w:val="center"/>
            <w:hideMark/>
          </w:tcPr>
          <w:p w14:paraId="267C387D"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162</w:t>
            </w:r>
          </w:p>
        </w:tc>
        <w:tc>
          <w:tcPr>
            <w:tcW w:w="3105" w:type="dxa"/>
            <w:tcBorders>
              <w:top w:val="nil"/>
              <w:left w:val="nil"/>
              <w:bottom w:val="single" w:sz="8" w:space="0" w:color="FFFFFF"/>
              <w:right w:val="single" w:sz="8" w:space="0" w:color="FFFFFF"/>
            </w:tcBorders>
            <w:shd w:val="clear" w:color="000000" w:fill="E7EEEF"/>
            <w:vAlign w:val="center"/>
            <w:hideMark/>
          </w:tcPr>
          <w:p w14:paraId="068FE84F"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2.22</w:t>
            </w:r>
          </w:p>
        </w:tc>
        <w:tc>
          <w:tcPr>
            <w:tcW w:w="2780" w:type="dxa"/>
            <w:tcBorders>
              <w:top w:val="nil"/>
              <w:left w:val="nil"/>
              <w:bottom w:val="single" w:sz="8" w:space="0" w:color="FFFFFF"/>
              <w:right w:val="single" w:sz="8" w:space="0" w:color="FFFFFF"/>
            </w:tcBorders>
            <w:shd w:val="clear" w:color="000000" w:fill="E7EEEF"/>
            <w:vAlign w:val="center"/>
            <w:hideMark/>
          </w:tcPr>
          <w:p w14:paraId="59CFD8D8"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360</w:t>
            </w:r>
          </w:p>
        </w:tc>
      </w:tr>
      <w:tr w:rsidR="00897D79" w:rsidRPr="00EE1652" w14:paraId="237AEC77" w14:textId="77777777" w:rsidTr="009B4BDF">
        <w:trPr>
          <w:trHeight w:val="320"/>
        </w:trPr>
        <w:tc>
          <w:tcPr>
            <w:tcW w:w="863" w:type="dxa"/>
            <w:tcBorders>
              <w:top w:val="nil"/>
              <w:left w:val="single" w:sz="8" w:space="0" w:color="FFFFFF"/>
              <w:bottom w:val="single" w:sz="8" w:space="0" w:color="FFFFFF"/>
              <w:right w:val="single" w:sz="8" w:space="0" w:color="FFFFFF"/>
            </w:tcBorders>
            <w:shd w:val="clear" w:color="000000" w:fill="008C9B"/>
            <w:vAlign w:val="center"/>
            <w:hideMark/>
          </w:tcPr>
          <w:p w14:paraId="4F399B79" w14:textId="77777777" w:rsidR="00897D79" w:rsidRPr="00EE1652" w:rsidRDefault="00897D79" w:rsidP="00916197">
            <w:pPr>
              <w:spacing w:after="0"/>
              <w:rPr>
                <w:rFonts w:ascii="Calibri" w:eastAsia="Times New Roman" w:hAnsi="Calibri"/>
                <w:color w:val="FFFFFF"/>
                <w:sz w:val="20"/>
                <w:lang w:eastAsia="en-GB"/>
              </w:rPr>
            </w:pPr>
            <w:r w:rsidRPr="00EE1652">
              <w:rPr>
                <w:rFonts w:ascii="Calibri" w:eastAsia="Times New Roman" w:hAnsi="Calibri"/>
                <w:color w:val="FFFFFF"/>
                <w:sz w:val="20"/>
                <w:lang w:eastAsia="en-GB"/>
              </w:rPr>
              <w:t>2017</w:t>
            </w:r>
          </w:p>
        </w:tc>
        <w:tc>
          <w:tcPr>
            <w:tcW w:w="2592" w:type="dxa"/>
            <w:tcBorders>
              <w:top w:val="nil"/>
              <w:left w:val="nil"/>
              <w:bottom w:val="single" w:sz="8" w:space="0" w:color="FFFFFF"/>
              <w:right w:val="single" w:sz="8" w:space="0" w:color="FFFFFF"/>
            </w:tcBorders>
            <w:shd w:val="clear" w:color="000000" w:fill="D0CECE"/>
            <w:vAlign w:val="center"/>
            <w:hideMark/>
          </w:tcPr>
          <w:p w14:paraId="700E608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105</w:t>
            </w:r>
          </w:p>
        </w:tc>
        <w:tc>
          <w:tcPr>
            <w:tcW w:w="3105" w:type="dxa"/>
            <w:tcBorders>
              <w:top w:val="nil"/>
              <w:left w:val="nil"/>
              <w:bottom w:val="single" w:sz="8" w:space="0" w:color="FFFFFF"/>
              <w:right w:val="single" w:sz="8" w:space="0" w:color="FFFFFF"/>
            </w:tcBorders>
            <w:shd w:val="clear" w:color="000000" w:fill="D0CECE"/>
            <w:vAlign w:val="center"/>
            <w:hideMark/>
          </w:tcPr>
          <w:p w14:paraId="7299E046"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2.15</w:t>
            </w:r>
          </w:p>
        </w:tc>
        <w:tc>
          <w:tcPr>
            <w:tcW w:w="2780" w:type="dxa"/>
            <w:tcBorders>
              <w:top w:val="nil"/>
              <w:left w:val="nil"/>
              <w:bottom w:val="single" w:sz="8" w:space="0" w:color="FFFFFF"/>
              <w:right w:val="single" w:sz="8" w:space="0" w:color="FFFFFF"/>
            </w:tcBorders>
            <w:shd w:val="clear" w:color="000000" w:fill="D0CECE"/>
            <w:vAlign w:val="center"/>
            <w:hideMark/>
          </w:tcPr>
          <w:p w14:paraId="143DD757" w14:textId="77777777" w:rsidR="00897D79" w:rsidRPr="00EE1652" w:rsidRDefault="00897D79" w:rsidP="00916197">
            <w:pPr>
              <w:spacing w:after="0"/>
              <w:jc w:val="center"/>
              <w:rPr>
                <w:rFonts w:ascii="Calibri" w:eastAsia="Times New Roman" w:hAnsi="Calibri"/>
                <w:color w:val="000000"/>
                <w:sz w:val="20"/>
                <w:lang w:eastAsia="en-GB"/>
              </w:rPr>
            </w:pPr>
            <w:r w:rsidRPr="00EE1652">
              <w:rPr>
                <w:rFonts w:ascii="Calibri" w:eastAsia="Times New Roman" w:hAnsi="Calibri"/>
                <w:color w:val="000000"/>
                <w:sz w:val="20"/>
                <w:lang w:eastAsia="en-GB"/>
              </w:rPr>
              <w:t>226</w:t>
            </w:r>
          </w:p>
        </w:tc>
      </w:tr>
    </w:tbl>
    <w:p w14:paraId="3DCE4C20" w14:textId="77777777" w:rsidR="00897D79" w:rsidRPr="00C81A27" w:rsidRDefault="00897D79" w:rsidP="00897D79">
      <w:pPr>
        <w:spacing w:before="60" w:after="120"/>
        <w:jc w:val="right"/>
        <w:rPr>
          <w:rStyle w:val="SubtleEmphasis"/>
          <w:color w:val="auto"/>
          <w:sz w:val="18"/>
        </w:rPr>
      </w:pPr>
      <w:r w:rsidRPr="00C81A27">
        <w:rPr>
          <w:rStyle w:val="SubtleEmphasis"/>
          <w:color w:val="auto"/>
          <w:sz w:val="18"/>
        </w:rPr>
        <w:t>Source: ONS, FAME, Cebr analysis</w:t>
      </w:r>
    </w:p>
    <w:p w14:paraId="04390688" w14:textId="06C21591" w:rsidR="000032D9" w:rsidRPr="00D8750F" w:rsidRDefault="00654BBE" w:rsidP="000032D9">
      <w:pPr>
        <w:pStyle w:val="Heading1"/>
      </w:pPr>
      <w:bookmarkStart w:id="85" w:name="_Toc16175623"/>
      <w:bookmarkStart w:id="86" w:name="_Toc18076350"/>
      <w:r>
        <w:lastRenderedPageBreak/>
        <w:t>Maritime Sector</w:t>
      </w:r>
      <w:r w:rsidR="000032D9">
        <w:t xml:space="preserve"> in Wales</w:t>
      </w:r>
      <w:r w:rsidR="000032D9" w:rsidRPr="00D8750F">
        <w:t>: A Forward Look</w:t>
      </w:r>
      <w:bookmarkEnd w:id="85"/>
      <w:bookmarkEnd w:id="86"/>
    </w:p>
    <w:p w14:paraId="1ABC327A" w14:textId="57028EDF" w:rsidR="000032D9" w:rsidRDefault="000032D9" w:rsidP="000032D9">
      <w:pPr>
        <w:rPr>
          <w:rFonts w:ascii="Calibri" w:eastAsia="Microsoft JhengHei" w:hAnsi="Calibri"/>
        </w:rPr>
      </w:pPr>
      <w:bookmarkStart w:id="87" w:name="_Toc11243625"/>
      <w:r w:rsidRPr="00D8750F">
        <w:rPr>
          <w:rFonts w:ascii="Calibri" w:eastAsia="Microsoft JhengHei" w:hAnsi="Calibri"/>
        </w:rPr>
        <w:t xml:space="preserve">In this final section of the report we present projections of the </w:t>
      </w:r>
      <w:r w:rsidR="00654BBE">
        <w:rPr>
          <w:rFonts w:ascii="Calibri" w:eastAsia="Microsoft JhengHei" w:hAnsi="Calibri"/>
        </w:rPr>
        <w:t>Maritime Sector</w:t>
      </w:r>
      <w:r w:rsidRPr="00334A14">
        <w:rPr>
          <w:rFonts w:ascii="Calibri" w:eastAsia="Microsoft JhengHei" w:hAnsi="Calibri"/>
        </w:rPr>
        <w:t xml:space="preserve"> </w:t>
      </w:r>
      <w:r>
        <w:rPr>
          <w:rFonts w:ascii="Calibri" w:eastAsia="Microsoft JhengHei" w:hAnsi="Calibri"/>
        </w:rPr>
        <w:t>in Wales</w:t>
      </w:r>
      <w:r w:rsidRPr="00D8750F">
        <w:rPr>
          <w:rFonts w:ascii="Calibri" w:eastAsia="Microsoft JhengHei" w:hAnsi="Calibri"/>
        </w:rPr>
        <w:t xml:space="preserve"> for the period 2019-2023. The section starts off by describ</w:t>
      </w:r>
      <w:r>
        <w:rPr>
          <w:rFonts w:ascii="Calibri" w:eastAsia="Microsoft JhengHei" w:hAnsi="Calibri"/>
        </w:rPr>
        <w:t>ing</w:t>
      </w:r>
      <w:r w:rsidRPr="00D8750F">
        <w:rPr>
          <w:rFonts w:ascii="Calibri" w:eastAsia="Microsoft JhengHei" w:hAnsi="Calibri"/>
        </w:rPr>
        <w:t xml:space="preserve"> the conceptual approach that we have developed to produce projections of the direct economic impacts after 2017</w:t>
      </w:r>
      <w:r>
        <w:rPr>
          <w:rFonts w:ascii="Calibri" w:eastAsia="Microsoft JhengHei" w:hAnsi="Calibri"/>
        </w:rPr>
        <w:t xml:space="preserve"> and then</w:t>
      </w:r>
      <w:r w:rsidRPr="00D8750F">
        <w:rPr>
          <w:rFonts w:ascii="Calibri" w:eastAsia="Microsoft JhengHei" w:hAnsi="Calibri"/>
        </w:rPr>
        <w:t xml:space="preserve"> present our forecasts of</w:t>
      </w:r>
      <w:r>
        <w:rPr>
          <w:rFonts w:ascii="Calibri" w:eastAsia="Microsoft JhengHei" w:hAnsi="Calibri"/>
        </w:rPr>
        <w:t xml:space="preserve"> Welsh-based </w:t>
      </w:r>
      <w:r w:rsidRPr="00D8750F">
        <w:rPr>
          <w:rFonts w:ascii="Calibri" w:eastAsia="Microsoft JhengHei" w:hAnsi="Calibri"/>
        </w:rPr>
        <w:t>Maritime turnover and GVA</w:t>
      </w:r>
      <w:r>
        <w:rPr>
          <w:rFonts w:ascii="Calibri" w:eastAsia="Microsoft JhengHei" w:hAnsi="Calibri"/>
        </w:rPr>
        <w:t xml:space="preserve"> </w:t>
      </w:r>
      <w:r w:rsidRPr="00D8750F">
        <w:rPr>
          <w:rFonts w:ascii="Calibri" w:eastAsia="Microsoft JhengHei" w:hAnsi="Calibri"/>
        </w:rPr>
        <w:t xml:space="preserve">over the period 2019-2023. </w:t>
      </w:r>
      <w:bookmarkStart w:id="88" w:name="_Toc16175625"/>
    </w:p>
    <w:p w14:paraId="40E92619" w14:textId="0124D544" w:rsidR="000032D9" w:rsidRPr="00D8750F" w:rsidRDefault="000032D9" w:rsidP="000032D9">
      <w:pPr>
        <w:keepNext/>
        <w:keepLines/>
        <w:tabs>
          <w:tab w:val="left" w:pos="680"/>
        </w:tabs>
        <w:spacing w:after="120" w:line="340" w:lineRule="atLeast"/>
        <w:outlineLvl w:val="1"/>
        <w:rPr>
          <w:rFonts w:ascii="Calibri" w:eastAsia="Microsoft JhengHei" w:hAnsi="Calibri" w:cs="Arial"/>
          <w:b/>
          <w:bCs/>
          <w:color w:val="7F7F7F"/>
          <w:sz w:val="28"/>
          <w:szCs w:val="26"/>
        </w:rPr>
      </w:pPr>
      <w:r w:rsidRPr="00D8750F">
        <w:rPr>
          <w:rFonts w:ascii="Calibri" w:eastAsia="Microsoft JhengHei" w:hAnsi="Calibri" w:cs="Arial"/>
          <w:b/>
          <w:bCs/>
          <w:color w:val="7F7F7F"/>
          <w:sz w:val="28"/>
          <w:szCs w:val="26"/>
        </w:rPr>
        <w:t xml:space="preserve">The </w:t>
      </w:r>
      <w:r>
        <w:rPr>
          <w:rFonts w:ascii="Calibri" w:eastAsia="Microsoft JhengHei" w:hAnsi="Calibri" w:cs="Arial"/>
          <w:b/>
          <w:bCs/>
          <w:color w:val="7F7F7F"/>
          <w:sz w:val="28"/>
          <w:szCs w:val="26"/>
        </w:rPr>
        <w:t xml:space="preserve">Welsh-based </w:t>
      </w:r>
      <w:r w:rsidR="00654BBE">
        <w:rPr>
          <w:rFonts w:ascii="Calibri" w:eastAsia="Microsoft JhengHei" w:hAnsi="Calibri" w:cs="Arial"/>
          <w:b/>
          <w:bCs/>
          <w:color w:val="7F7F7F"/>
          <w:sz w:val="28"/>
          <w:szCs w:val="26"/>
        </w:rPr>
        <w:t>Maritime Sector</w:t>
      </w:r>
      <w:r w:rsidRPr="00D8750F">
        <w:rPr>
          <w:rFonts w:ascii="Calibri" w:eastAsia="Microsoft JhengHei" w:hAnsi="Calibri" w:cs="Arial"/>
          <w:b/>
          <w:bCs/>
          <w:color w:val="7F7F7F"/>
          <w:sz w:val="28"/>
          <w:szCs w:val="26"/>
        </w:rPr>
        <w:t xml:space="preserve"> Forecast (2019-2023)</w:t>
      </w:r>
      <w:bookmarkEnd w:id="88"/>
    </w:p>
    <w:p w14:paraId="4B675443" w14:textId="77777777" w:rsidR="000032D9" w:rsidRPr="00D8750F" w:rsidRDefault="000032D9" w:rsidP="000032D9">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approach</w:t>
      </w:r>
    </w:p>
    <w:p w14:paraId="56187D9B" w14:textId="5C229612" w:rsidR="000032D9" w:rsidRPr="00D8750F" w:rsidRDefault="000032D9" w:rsidP="000032D9">
      <w:pPr>
        <w:rPr>
          <w:rFonts w:ascii="Calibri" w:eastAsia="Microsoft JhengHei" w:hAnsi="Calibri"/>
        </w:rPr>
      </w:pPr>
      <w:r w:rsidRPr="00D8750F">
        <w:rPr>
          <w:rFonts w:ascii="Calibri" w:eastAsia="Microsoft JhengHei" w:hAnsi="Calibri"/>
        </w:rPr>
        <w:t>We investigat</w:t>
      </w:r>
      <w:r w:rsidR="00B60125">
        <w:rPr>
          <w:rFonts w:ascii="Calibri" w:eastAsia="Microsoft JhengHei" w:hAnsi="Calibri"/>
        </w:rPr>
        <w:t>e the relationship between the Maritime economy</w:t>
      </w:r>
      <w:r w:rsidRPr="00D8750F">
        <w:rPr>
          <w:rFonts w:ascii="Calibri" w:eastAsia="Microsoft JhengHei" w:hAnsi="Calibri"/>
        </w:rPr>
        <w:t xml:space="preserve"> </w:t>
      </w:r>
      <w:r>
        <w:rPr>
          <w:rFonts w:ascii="Calibri" w:eastAsia="Microsoft JhengHei" w:hAnsi="Calibri"/>
        </w:rPr>
        <w:t xml:space="preserve">in Wales </w:t>
      </w:r>
      <w:r w:rsidRPr="00D8750F">
        <w:rPr>
          <w:rFonts w:ascii="Calibri" w:eastAsia="Microsoft JhengHei" w:hAnsi="Calibri"/>
        </w:rPr>
        <w:t xml:space="preserve">and a number </w:t>
      </w:r>
      <w:r>
        <w:rPr>
          <w:rFonts w:ascii="Calibri" w:eastAsia="Microsoft JhengHei" w:hAnsi="Calibri"/>
        </w:rPr>
        <w:t xml:space="preserve">of </w:t>
      </w:r>
      <w:r w:rsidRPr="00D8750F">
        <w:rPr>
          <w:rFonts w:ascii="Calibri" w:eastAsia="Microsoft JhengHei" w:hAnsi="Calibri"/>
        </w:rPr>
        <w:t xml:space="preserve">economic variables through an econometric approach. Our findings show that the </w:t>
      </w:r>
      <w:r w:rsidR="00B60125">
        <w:rPr>
          <w:rFonts w:ascii="Calibri" w:eastAsia="Microsoft JhengHei" w:hAnsi="Calibri"/>
        </w:rPr>
        <w:t>M</w:t>
      </w:r>
      <w:r w:rsidRPr="00D8750F">
        <w:rPr>
          <w:rFonts w:ascii="Calibri" w:eastAsia="Microsoft JhengHei" w:hAnsi="Calibri"/>
        </w:rPr>
        <w:t xml:space="preserve">aritime </w:t>
      </w:r>
      <w:r>
        <w:rPr>
          <w:rFonts w:ascii="Calibri" w:eastAsia="Microsoft JhengHei" w:hAnsi="Calibri"/>
        </w:rPr>
        <w:t>economy</w:t>
      </w:r>
      <w:r w:rsidRPr="00D8750F">
        <w:rPr>
          <w:rFonts w:ascii="Calibri" w:eastAsia="Microsoft JhengHei" w:hAnsi="Calibri"/>
        </w:rPr>
        <w:t xml:space="preserve"> is primarily linked to </w:t>
      </w:r>
      <w:r>
        <w:rPr>
          <w:rFonts w:ascii="Calibri" w:eastAsia="Microsoft JhengHei" w:hAnsi="Calibri"/>
        </w:rPr>
        <w:t>Welsh GVA</w:t>
      </w:r>
      <w:r w:rsidRPr="00D8750F">
        <w:rPr>
          <w:rFonts w:ascii="Calibri" w:eastAsia="Microsoft JhengHei" w:hAnsi="Calibri"/>
        </w:rPr>
        <w:t xml:space="preserve">. After having established </w:t>
      </w:r>
      <w:r>
        <w:rPr>
          <w:rFonts w:ascii="Calibri" w:eastAsia="Microsoft JhengHei" w:hAnsi="Calibri"/>
        </w:rPr>
        <w:t xml:space="preserve">the Welsh </w:t>
      </w:r>
      <w:r w:rsidRPr="00D8750F">
        <w:rPr>
          <w:rFonts w:ascii="Calibri" w:eastAsia="Microsoft JhengHei" w:hAnsi="Calibri"/>
        </w:rPr>
        <w:t xml:space="preserve">Maritime economy’s elasticities to </w:t>
      </w:r>
      <w:r>
        <w:rPr>
          <w:rFonts w:ascii="Calibri" w:eastAsia="Microsoft JhengHei" w:hAnsi="Calibri"/>
        </w:rPr>
        <w:t>Welsh total GVA</w:t>
      </w:r>
      <w:r w:rsidRPr="00D8750F">
        <w:rPr>
          <w:rFonts w:ascii="Calibri" w:eastAsia="Microsoft JhengHei" w:hAnsi="Calibri"/>
        </w:rPr>
        <w:t xml:space="preserve">, we project these historical relationships forward to produce a forecast of </w:t>
      </w:r>
      <w:r>
        <w:rPr>
          <w:rFonts w:ascii="Calibri" w:eastAsia="Microsoft JhengHei" w:hAnsi="Calibri"/>
        </w:rPr>
        <w:t xml:space="preserve">Welsh-based </w:t>
      </w:r>
      <w:r w:rsidRPr="00D8750F">
        <w:rPr>
          <w:rFonts w:ascii="Calibri" w:eastAsia="Microsoft JhengHei" w:hAnsi="Calibri"/>
        </w:rPr>
        <w:t xml:space="preserve">Maritime turnover and GVA. The output of this model constitutes our baseline forecast. </w:t>
      </w:r>
    </w:p>
    <w:p w14:paraId="04979966" w14:textId="77777777" w:rsidR="000032D9" w:rsidRPr="00D8750F" w:rsidRDefault="000032D9" w:rsidP="000032D9">
      <w:pPr>
        <w:rPr>
          <w:rFonts w:ascii="Calibri" w:eastAsia="Microsoft JhengHei" w:hAnsi="Calibri"/>
        </w:rPr>
      </w:pPr>
      <w:r w:rsidRPr="00D8750F">
        <w:rPr>
          <w:rFonts w:ascii="Calibri" w:eastAsia="Microsoft JhengHei" w:hAnsi="Calibri"/>
        </w:rPr>
        <w:t xml:space="preserve">Forecast models rely on macroeconomic variables, for example, GDP, which are generally more suitable for long term horizon while the focus of our analysis is in the short-medium term (5 years). For this reason, we build on the baseline forecast, introducing more sector-specific assumptions which are used to flex the relation to the drivers previously identified. This approach also enables us to address deterministic expectations about the sector. </w:t>
      </w:r>
    </w:p>
    <w:p w14:paraId="46E49BB8" w14:textId="58CADA01" w:rsidR="000032D9" w:rsidRPr="00D8750F" w:rsidRDefault="000032D9" w:rsidP="000032D9">
      <w:pPr>
        <w:rPr>
          <w:rFonts w:ascii="Calibri" w:eastAsia="Microsoft JhengHei" w:hAnsi="Calibri"/>
        </w:rPr>
      </w:pPr>
      <w:r w:rsidRPr="00D8750F">
        <w:rPr>
          <w:rFonts w:ascii="Calibri" w:eastAsia="Microsoft JhengHei" w:hAnsi="Calibri"/>
        </w:rPr>
        <w:t xml:space="preserve">To identify the sector-specific assumptions, we drew on </w:t>
      </w:r>
      <w:r>
        <w:rPr>
          <w:rFonts w:ascii="Calibri" w:eastAsia="Microsoft JhengHei" w:hAnsi="Calibri"/>
        </w:rPr>
        <w:t xml:space="preserve">our knowledge of the sector composition and on UK-wide </w:t>
      </w:r>
      <w:r w:rsidR="00B60125">
        <w:rPr>
          <w:rFonts w:ascii="Calibri" w:eastAsia="Microsoft JhengHei" w:hAnsi="Calibri"/>
        </w:rPr>
        <w:t>M</w:t>
      </w:r>
      <w:r>
        <w:rPr>
          <w:rFonts w:ascii="Calibri" w:eastAsia="Microsoft JhengHei" w:hAnsi="Calibri"/>
        </w:rPr>
        <w:t xml:space="preserve">aritime trends and themes. </w:t>
      </w:r>
      <w:r w:rsidRPr="00D8750F">
        <w:rPr>
          <w:rFonts w:ascii="Calibri" w:eastAsia="Microsoft JhengHei" w:hAnsi="Calibri"/>
        </w:rPr>
        <w:t xml:space="preserve">Each assumption has been assigned a specific weight reflecting its relevance to the </w:t>
      </w:r>
      <w:r>
        <w:rPr>
          <w:rFonts w:ascii="Calibri" w:eastAsia="Microsoft JhengHei" w:hAnsi="Calibri"/>
        </w:rPr>
        <w:t>Welsh-based</w:t>
      </w:r>
      <w:r w:rsidRPr="00D8750F">
        <w:rPr>
          <w:rFonts w:ascii="Calibri" w:eastAsia="Microsoft JhengHei" w:hAnsi="Calibri"/>
        </w:rPr>
        <w:t xml:space="preserve"> </w:t>
      </w:r>
      <w:r w:rsidR="00654BBE">
        <w:rPr>
          <w:rFonts w:ascii="Calibri" w:eastAsia="Microsoft JhengHei" w:hAnsi="Calibri"/>
        </w:rPr>
        <w:t>Maritime Sector</w:t>
      </w:r>
      <w:r w:rsidRPr="00D8750F">
        <w:rPr>
          <w:rFonts w:ascii="Calibri" w:eastAsia="Microsoft JhengHei" w:hAnsi="Calibri"/>
        </w:rPr>
        <w:t xml:space="preserve"> and a set of adjustment factors have been produced.</w:t>
      </w:r>
    </w:p>
    <w:p w14:paraId="4B36CE7D" w14:textId="34CD069D" w:rsidR="000032D9" w:rsidRPr="00D8750F" w:rsidRDefault="000032D9" w:rsidP="000032D9">
      <w:pPr>
        <w:rPr>
          <w:rFonts w:ascii="Calibri" w:eastAsia="Microsoft JhengHei" w:hAnsi="Calibri"/>
        </w:rPr>
      </w:pPr>
      <w:r w:rsidRPr="00D8750F">
        <w:rPr>
          <w:rFonts w:ascii="Calibri" w:eastAsia="Microsoft JhengHei" w:hAnsi="Calibri"/>
        </w:rPr>
        <w:t xml:space="preserve">Applying the adjustments to the baseline forecast, we obtain our central forecast of the </w:t>
      </w:r>
      <w:r>
        <w:rPr>
          <w:rFonts w:ascii="Calibri" w:eastAsia="Microsoft JhengHei" w:hAnsi="Calibri"/>
        </w:rPr>
        <w:t xml:space="preserve">Welsh-based </w:t>
      </w:r>
      <w:r w:rsidR="00654BBE">
        <w:rPr>
          <w:rFonts w:ascii="Calibri" w:eastAsia="Microsoft JhengHei" w:hAnsi="Calibri"/>
        </w:rPr>
        <w:t>Maritime Sector</w:t>
      </w:r>
      <w:r w:rsidRPr="00D8750F">
        <w:rPr>
          <w:rFonts w:ascii="Calibri" w:eastAsia="Microsoft JhengHei" w:hAnsi="Calibri"/>
        </w:rPr>
        <w:t xml:space="preserve"> turno</w:t>
      </w:r>
      <w:r w:rsidR="005666BF">
        <w:rPr>
          <w:rFonts w:ascii="Calibri" w:eastAsia="Microsoft JhengHei" w:hAnsi="Calibri"/>
        </w:rPr>
        <w:t>ver and GVA over the period 2019</w:t>
      </w:r>
      <w:r w:rsidRPr="00D8750F">
        <w:rPr>
          <w:rFonts w:ascii="Calibri" w:eastAsia="Microsoft JhengHei" w:hAnsi="Calibri"/>
        </w:rPr>
        <w:t>-2023. To note also t</w:t>
      </w:r>
      <w:r w:rsidR="00B60125">
        <w:rPr>
          <w:rFonts w:ascii="Calibri" w:eastAsia="Microsoft JhengHei" w:hAnsi="Calibri"/>
        </w:rPr>
        <w:t>hat our historical analysis of M</w:t>
      </w:r>
      <w:r w:rsidRPr="00D8750F">
        <w:rPr>
          <w:rFonts w:ascii="Calibri" w:eastAsia="Microsoft JhengHei" w:hAnsi="Calibri"/>
        </w:rPr>
        <w:t xml:space="preserve">aritime ends in 2017. This requires us to produce a “now-cast” for the first year (2018) for which we know the actual value of the drivers but not of </w:t>
      </w:r>
      <w:r>
        <w:rPr>
          <w:rFonts w:ascii="Calibri" w:eastAsia="Microsoft JhengHei" w:hAnsi="Calibri"/>
        </w:rPr>
        <w:t xml:space="preserve">Welsh-based </w:t>
      </w:r>
      <w:r w:rsidRPr="00D8750F">
        <w:rPr>
          <w:rFonts w:ascii="Calibri" w:eastAsia="Microsoft JhengHei" w:hAnsi="Calibri"/>
        </w:rPr>
        <w:t>Maritime Turnover and GVA and a forecast for the following period.</w:t>
      </w:r>
    </w:p>
    <w:p w14:paraId="109C79CA" w14:textId="77777777" w:rsidR="000032D9" w:rsidRPr="00D8750F" w:rsidRDefault="000032D9" w:rsidP="000032D9">
      <w:pPr>
        <w:keepNext/>
        <w:keepLines/>
        <w:spacing w:line="340" w:lineRule="atLeast"/>
        <w:outlineLvl w:val="2"/>
        <w:rPr>
          <w:rFonts w:ascii="Calibri" w:eastAsia="Microsoft JhengHei" w:hAnsi="Calibri" w:cs="Arial"/>
          <w:b/>
          <w:bCs/>
          <w:color w:val="000000"/>
          <w:sz w:val="24"/>
        </w:rPr>
      </w:pPr>
      <w:r w:rsidRPr="00D8750F">
        <w:rPr>
          <w:rFonts w:ascii="Calibri" w:eastAsia="Microsoft JhengHei" w:hAnsi="Calibri" w:cs="Arial"/>
          <w:b/>
          <w:bCs/>
          <w:color w:val="000000"/>
          <w:sz w:val="24"/>
        </w:rPr>
        <w:t>Modelling Assumptions</w:t>
      </w:r>
    </w:p>
    <w:p w14:paraId="5DF8EED5" w14:textId="77777777" w:rsidR="000032D9" w:rsidRPr="00D8750F" w:rsidRDefault="000032D9" w:rsidP="000032D9">
      <w:pPr>
        <w:keepNext/>
        <w:keepLines/>
        <w:spacing w:line="320" w:lineRule="atLeast"/>
        <w:outlineLvl w:val="3"/>
        <w:rPr>
          <w:rFonts w:ascii="Calibri" w:eastAsia="Microsoft JhengHei" w:hAnsi="Calibri" w:cs="Arial"/>
          <w:bCs/>
          <w:iCs/>
          <w:color w:val="7F7F7F"/>
          <w:sz w:val="24"/>
        </w:rPr>
      </w:pPr>
      <w:r>
        <w:rPr>
          <w:rFonts w:ascii="Calibri" w:eastAsia="Microsoft JhengHei" w:hAnsi="Calibri" w:cs="Arial"/>
          <w:bCs/>
          <w:iCs/>
          <w:color w:val="7F7F7F"/>
          <w:sz w:val="24"/>
        </w:rPr>
        <w:t>Welsh GVA</w:t>
      </w:r>
    </w:p>
    <w:p w14:paraId="31EF40EA" w14:textId="77777777" w:rsidR="000032D9" w:rsidRDefault="000032D9" w:rsidP="000032D9">
      <w:pPr>
        <w:rPr>
          <w:rFonts w:ascii="Calibri" w:eastAsia="Microsoft JhengHei" w:hAnsi="Calibri"/>
        </w:rPr>
      </w:pPr>
      <w:r w:rsidRPr="00D8750F">
        <w:rPr>
          <w:rFonts w:ascii="Calibri" w:eastAsia="Microsoft JhengHei" w:hAnsi="Calibri"/>
        </w:rPr>
        <w:t>Cebr’s macroeconomics department produces regular forecasts of key economic indicators for the UK national</w:t>
      </w:r>
      <w:r>
        <w:rPr>
          <w:rFonts w:ascii="Calibri" w:eastAsia="Microsoft JhengHei" w:hAnsi="Calibri"/>
        </w:rPr>
        <w:t>,</w:t>
      </w:r>
      <w:r w:rsidRPr="00D8750F">
        <w:rPr>
          <w:rFonts w:ascii="Calibri" w:eastAsia="Microsoft JhengHei" w:hAnsi="Calibri"/>
        </w:rPr>
        <w:t xml:space="preserve"> regional </w:t>
      </w:r>
      <w:r>
        <w:rPr>
          <w:rFonts w:ascii="Calibri" w:eastAsia="Microsoft JhengHei" w:hAnsi="Calibri"/>
        </w:rPr>
        <w:t xml:space="preserve">and local </w:t>
      </w:r>
      <w:r w:rsidRPr="00D8750F">
        <w:rPr>
          <w:rFonts w:ascii="Calibri" w:eastAsia="Microsoft JhengHei" w:hAnsi="Calibri"/>
        </w:rPr>
        <w:t xml:space="preserve">economies which can directly inform our analysis. We therefore rely on our own </w:t>
      </w:r>
      <w:r>
        <w:rPr>
          <w:rFonts w:ascii="Calibri" w:eastAsia="Microsoft JhengHei" w:hAnsi="Calibri"/>
        </w:rPr>
        <w:t>projections</w:t>
      </w:r>
      <w:r w:rsidRPr="00D8750F">
        <w:rPr>
          <w:rFonts w:ascii="Calibri" w:eastAsia="Microsoft JhengHei" w:hAnsi="Calibri"/>
        </w:rPr>
        <w:t xml:space="preserve"> of </w:t>
      </w:r>
      <w:r>
        <w:rPr>
          <w:rFonts w:ascii="Calibri" w:eastAsia="Microsoft JhengHei" w:hAnsi="Calibri"/>
        </w:rPr>
        <w:t>the Welsh economy.</w:t>
      </w:r>
    </w:p>
    <w:p w14:paraId="429A1B30" w14:textId="77777777" w:rsidR="000032D9" w:rsidRPr="00D8750F" w:rsidRDefault="000032D9" w:rsidP="000032D9">
      <w:pPr>
        <w:rPr>
          <w:rFonts w:ascii="Calibri" w:eastAsia="Microsoft JhengHei" w:hAnsi="Calibri"/>
        </w:rPr>
      </w:pPr>
      <w:bookmarkStart w:id="89" w:name="_Toc11243631"/>
      <w:r w:rsidRPr="00D8750F">
        <w:rPr>
          <w:rFonts w:ascii="Calibri" w:eastAsia="Microsoft JhengHei" w:hAnsi="Calibri"/>
          <w:noProof/>
        </w:rPr>
        <w:t xml:space="preserve">Cebr expects </w:t>
      </w:r>
      <w:r>
        <w:rPr>
          <w:rFonts w:ascii="Calibri" w:eastAsia="Microsoft JhengHei" w:hAnsi="Calibri"/>
          <w:noProof/>
        </w:rPr>
        <w:t>Wales regional</w:t>
      </w:r>
      <w:r w:rsidRPr="00D8750F">
        <w:rPr>
          <w:rFonts w:ascii="Calibri" w:eastAsia="Microsoft JhengHei" w:hAnsi="Calibri"/>
          <w:noProof/>
        </w:rPr>
        <w:t xml:space="preserve"> </w:t>
      </w:r>
      <w:r>
        <w:rPr>
          <w:rFonts w:ascii="Calibri" w:eastAsia="Microsoft JhengHei" w:hAnsi="Calibri"/>
          <w:noProof/>
        </w:rPr>
        <w:t>GVA</w:t>
      </w:r>
      <w:r w:rsidRPr="00D8750F">
        <w:rPr>
          <w:rFonts w:ascii="Calibri" w:eastAsia="Microsoft JhengHei" w:hAnsi="Calibri"/>
          <w:noProof/>
        </w:rPr>
        <w:t xml:space="preserve"> to grow at a </w:t>
      </w:r>
      <w:r w:rsidRPr="00D8750F">
        <w:rPr>
          <w:rFonts w:ascii="Calibri" w:eastAsia="Microsoft JhengHei" w:hAnsi="Calibri"/>
        </w:rPr>
        <w:t xml:space="preserve">Compounded Annual Growth rate (CAGR) of </w:t>
      </w:r>
      <w:r>
        <w:rPr>
          <w:rFonts w:ascii="Calibri" w:eastAsia="Microsoft JhengHei" w:hAnsi="Calibri"/>
        </w:rPr>
        <w:t>3</w:t>
      </w:r>
      <w:r w:rsidRPr="00D8750F">
        <w:rPr>
          <w:rFonts w:ascii="Calibri" w:eastAsia="Microsoft JhengHei" w:hAnsi="Calibri"/>
        </w:rPr>
        <w:t xml:space="preserve">% over 2018-2023 in </w:t>
      </w:r>
      <w:r>
        <w:rPr>
          <w:rFonts w:ascii="Calibri" w:eastAsia="Microsoft JhengHei" w:hAnsi="Calibri"/>
        </w:rPr>
        <w:t>nominal</w:t>
      </w:r>
      <w:r w:rsidRPr="00D8750F">
        <w:rPr>
          <w:rFonts w:ascii="Calibri" w:eastAsia="Microsoft JhengHei" w:hAnsi="Calibri"/>
        </w:rPr>
        <w:t xml:space="preserve"> terms. This rate is lower than the </w:t>
      </w:r>
      <w:r>
        <w:rPr>
          <w:rFonts w:ascii="Calibri" w:eastAsia="Microsoft JhengHei" w:hAnsi="Calibri"/>
        </w:rPr>
        <w:t>3.8</w:t>
      </w:r>
      <w:r w:rsidRPr="00D8750F">
        <w:rPr>
          <w:rFonts w:ascii="Calibri" w:eastAsia="Microsoft JhengHei" w:hAnsi="Calibri"/>
        </w:rPr>
        <w:t>% CAGR observed during the past 5 years. A high level of uncertainty characterises the forecast as the outcome of Brexit negotiations could easily shift the projections.</w:t>
      </w:r>
    </w:p>
    <w:p w14:paraId="2D11D389" w14:textId="77777777" w:rsidR="000032D9" w:rsidRPr="00D8750F" w:rsidRDefault="000032D9" w:rsidP="000032D9">
      <w:pPr>
        <w:keepNext/>
        <w:keepLines/>
        <w:spacing w:line="320" w:lineRule="atLeast"/>
        <w:outlineLvl w:val="3"/>
        <w:rPr>
          <w:rFonts w:ascii="Calibri" w:eastAsia="Microsoft JhengHei" w:hAnsi="Calibri" w:cs="Arial"/>
          <w:bCs/>
          <w:iCs/>
          <w:color w:val="7F7F7F"/>
          <w:sz w:val="24"/>
        </w:rPr>
      </w:pPr>
      <w:r w:rsidRPr="00D8750F">
        <w:rPr>
          <w:rFonts w:ascii="Calibri" w:eastAsia="Microsoft JhengHei" w:hAnsi="Calibri" w:cs="Arial"/>
          <w:bCs/>
          <w:iCs/>
          <w:color w:val="7F7F7F"/>
          <w:sz w:val="24"/>
        </w:rPr>
        <w:t xml:space="preserve">Seaborne trade </w:t>
      </w:r>
      <w:bookmarkEnd w:id="89"/>
    </w:p>
    <w:p w14:paraId="1FECF31B" w14:textId="7B742507" w:rsidR="000032D9" w:rsidRPr="00D8750F" w:rsidRDefault="000032D9" w:rsidP="000032D9">
      <w:pPr>
        <w:rPr>
          <w:rFonts w:ascii="Calibri" w:eastAsia="Microsoft JhengHei" w:hAnsi="Calibri" w:cs="Calibri"/>
        </w:rPr>
      </w:pPr>
      <w:r>
        <w:rPr>
          <w:rFonts w:ascii="Calibri" w:eastAsia="Microsoft JhengHei" w:hAnsi="Calibri"/>
        </w:rPr>
        <w:t>S</w:t>
      </w:r>
      <w:r w:rsidRPr="00D8750F">
        <w:rPr>
          <w:rFonts w:ascii="Calibri" w:eastAsia="Microsoft JhengHei" w:hAnsi="Calibri"/>
        </w:rPr>
        <w:t xml:space="preserve">eaborne trade represents the main opportunity for the </w:t>
      </w:r>
      <w:r>
        <w:rPr>
          <w:rFonts w:ascii="Calibri" w:eastAsia="Microsoft JhengHei" w:hAnsi="Calibri"/>
        </w:rPr>
        <w:t xml:space="preserve">UK </w:t>
      </w:r>
      <w:r w:rsidR="00654BBE">
        <w:rPr>
          <w:rFonts w:ascii="Calibri" w:eastAsia="Microsoft JhengHei" w:hAnsi="Calibri"/>
        </w:rPr>
        <w:t>Maritime Sector</w:t>
      </w:r>
      <w:r w:rsidRPr="00D8750F">
        <w:rPr>
          <w:rFonts w:ascii="Calibri" w:eastAsia="Microsoft JhengHei" w:hAnsi="Calibri"/>
        </w:rPr>
        <w:t xml:space="preserve"> over the near future. </w:t>
      </w:r>
      <w:r w:rsidRPr="00D8750F">
        <w:rPr>
          <w:rFonts w:ascii="Calibri" w:eastAsia="Microsoft JhengHei" w:hAnsi="Calibri" w:cs="Calibri"/>
        </w:rPr>
        <w:t>We consider both worldwide and UK-specific trade projections within our modelling framework.</w:t>
      </w:r>
      <w:r>
        <w:rPr>
          <w:rFonts w:ascii="Calibri" w:eastAsia="Microsoft JhengHei" w:hAnsi="Calibri" w:cs="Calibri"/>
        </w:rPr>
        <w:t xml:space="preserve"> </w:t>
      </w:r>
    </w:p>
    <w:p w14:paraId="60371F75" w14:textId="77777777" w:rsidR="000032D9" w:rsidRPr="00D8750F" w:rsidRDefault="000032D9" w:rsidP="000032D9">
      <w:pPr>
        <w:rPr>
          <w:rFonts w:ascii="Calibri" w:eastAsia="Microsoft JhengHei" w:hAnsi="Calibri"/>
        </w:rPr>
      </w:pPr>
      <w:r w:rsidRPr="00D8750F">
        <w:rPr>
          <w:rFonts w:ascii="Calibri" w:eastAsia="Microsoft JhengHei" w:hAnsi="Calibri"/>
        </w:rPr>
        <w:lastRenderedPageBreak/>
        <w:t>Worldwide trends indicate a sustained growth in trade. UNCTAD</w:t>
      </w:r>
      <w:r w:rsidRPr="00D8750F">
        <w:rPr>
          <w:rFonts w:ascii="Calibri" w:eastAsia="Microsoft JhengHei" w:hAnsi="Calibri"/>
          <w:position w:val="12"/>
          <w:sz w:val="18"/>
          <w:vertAlign w:val="superscript"/>
        </w:rPr>
        <w:footnoteReference w:id="16"/>
      </w:r>
      <w:r w:rsidRPr="00D8750F">
        <w:rPr>
          <w:rFonts w:ascii="Calibri" w:eastAsia="Microsoft JhengHei" w:hAnsi="Calibri"/>
        </w:rPr>
        <w:t xml:space="preserve"> sees positive prospects for world seaborne trade forecasting a 3.8% compound annual growth rate between 2018 and 2023 with strongest growth in volumes for containerized and dry bulk commodities. Seaborne trade projections are in line with recent trends showing an average growth rate of 3.5% between 2005 and 2017. These figures are broadly in line with forecasts published by other organisations. DNV GL (an internationally accredited registrar and classification society) projected a 39% increase in seaborne trade tonnage over 2016-2030</w:t>
      </w:r>
      <w:r w:rsidRPr="00D8750F">
        <w:rPr>
          <w:rFonts w:ascii="Calibri" w:eastAsia="Microsoft JhengHei" w:hAnsi="Calibri"/>
          <w:position w:val="12"/>
          <w:sz w:val="18"/>
          <w:vertAlign w:val="superscript"/>
        </w:rPr>
        <w:footnoteReference w:id="17"/>
      </w:r>
      <w:r w:rsidRPr="00D8750F">
        <w:rPr>
          <w:rFonts w:ascii="Calibri" w:eastAsia="Microsoft JhengHei" w:hAnsi="Calibri"/>
        </w:rPr>
        <w:t>. According to the OECD, global trade is forecast to grow at a higher rate than the economy and specifically a 1% increase in GDP is expected to correspond to a 1.1% growth in seaborne trade (tonnes)</w:t>
      </w:r>
      <w:r w:rsidRPr="00D8750F">
        <w:rPr>
          <w:rFonts w:ascii="Calibri" w:eastAsia="Microsoft JhengHei" w:hAnsi="Calibri"/>
          <w:position w:val="12"/>
          <w:sz w:val="18"/>
          <w:vertAlign w:val="superscript"/>
        </w:rPr>
        <w:footnoteReference w:id="18"/>
      </w:r>
      <w:r w:rsidRPr="00D8750F">
        <w:rPr>
          <w:rFonts w:ascii="Calibri" w:eastAsia="Microsoft JhengHei" w:hAnsi="Calibri"/>
          <w:sz w:val="24"/>
        </w:rPr>
        <w:t>.</w:t>
      </w:r>
      <w:r w:rsidRPr="00D8750F">
        <w:rPr>
          <w:rFonts w:ascii="Calibri" w:eastAsia="Microsoft JhengHei" w:hAnsi="Calibri"/>
        </w:rPr>
        <w:t xml:space="preserve">  </w:t>
      </w:r>
    </w:p>
    <w:p w14:paraId="3DBEC4BD" w14:textId="77777777" w:rsidR="000032D9" w:rsidRDefault="000032D9" w:rsidP="000032D9">
      <w:pPr>
        <w:rPr>
          <w:rFonts w:ascii="Calibri" w:eastAsia="Microsoft JhengHei" w:hAnsi="Calibri" w:cs="Calibri"/>
        </w:rPr>
      </w:pPr>
      <w:r w:rsidRPr="00D8750F">
        <w:rPr>
          <w:rFonts w:ascii="Calibri" w:eastAsia="Microsoft JhengHei" w:hAnsi="Calibri" w:cs="Calibri"/>
        </w:rPr>
        <w:t xml:space="preserve">UK prospects are slightly less optimistic than the aforementioned forecasts, as demonstrated by the 2019 DfT’s projections of UK port freight traffic covering the years 2017 through to 2050. DfT reports that overall port traffic is forecast to remain relatively flat over the short term, but then grow over the long term, with tonnage 39% higher in 2050 compared to 2016. </w:t>
      </w:r>
    </w:p>
    <w:bookmarkEnd w:id="87"/>
    <w:p w14:paraId="5A8E5C74" w14:textId="3B4DCF4B" w:rsidR="000032D9" w:rsidRPr="00D8750F" w:rsidRDefault="008B1B0F" w:rsidP="000032D9">
      <w:pPr>
        <w:keepNext/>
        <w:keepLines/>
        <w:tabs>
          <w:tab w:val="left" w:pos="7286"/>
        </w:tabs>
        <w:spacing w:line="340" w:lineRule="atLeast"/>
        <w:outlineLvl w:val="2"/>
        <w:rPr>
          <w:rFonts w:ascii="Calibri" w:eastAsia="Microsoft JhengHei" w:hAnsi="Calibri" w:cs="Arial"/>
          <w:b/>
          <w:bCs/>
          <w:color w:val="000000"/>
          <w:sz w:val="24"/>
        </w:rPr>
      </w:pPr>
      <w:r>
        <w:rPr>
          <w:rFonts w:ascii="Calibri" w:eastAsia="Microsoft JhengHei" w:hAnsi="Calibri" w:cs="Arial"/>
          <w:b/>
          <w:bCs/>
          <w:color w:val="000000"/>
          <w:sz w:val="24"/>
        </w:rPr>
        <w:t>The 2019</w:t>
      </w:r>
      <w:r w:rsidR="000032D9" w:rsidRPr="00D8750F">
        <w:rPr>
          <w:rFonts w:ascii="Calibri" w:eastAsia="Microsoft JhengHei" w:hAnsi="Calibri" w:cs="Arial"/>
          <w:b/>
          <w:bCs/>
          <w:color w:val="000000"/>
          <w:sz w:val="24"/>
        </w:rPr>
        <w:t>-2023 forecast</w:t>
      </w:r>
      <w:r w:rsidR="000032D9" w:rsidRPr="00D8750F">
        <w:rPr>
          <w:rFonts w:ascii="Calibri" w:eastAsia="Microsoft JhengHei" w:hAnsi="Calibri" w:cs="Arial"/>
          <w:b/>
          <w:bCs/>
          <w:color w:val="000000"/>
          <w:sz w:val="24"/>
        </w:rPr>
        <w:tab/>
      </w:r>
    </w:p>
    <w:p w14:paraId="227DA728" w14:textId="7B3B0C0E" w:rsidR="000032D9" w:rsidRDefault="000032D9" w:rsidP="000032D9">
      <w:pPr>
        <w:rPr>
          <w:rFonts w:ascii="Calibri" w:eastAsia="Microsoft JhengHei" w:hAnsi="Calibri"/>
        </w:rPr>
      </w:pPr>
      <w:r w:rsidRPr="00963862">
        <w:rPr>
          <w:rFonts w:ascii="Calibri" w:eastAsia="Microsoft JhengHei" w:hAnsi="Calibri"/>
          <w:szCs w:val="22"/>
        </w:rPr>
        <w:fldChar w:fldCharType="begin"/>
      </w:r>
      <w:r w:rsidRPr="00963862">
        <w:rPr>
          <w:rFonts w:ascii="Calibri" w:eastAsia="Microsoft JhengHei" w:hAnsi="Calibri"/>
          <w:szCs w:val="22"/>
        </w:rPr>
        <w:instrText xml:space="preserve"> REF _Ref15912248 \h </w:instrText>
      </w:r>
      <w:r w:rsidR="00963862" w:rsidRPr="00963862">
        <w:rPr>
          <w:rFonts w:ascii="Calibri" w:eastAsia="Microsoft JhengHei" w:hAnsi="Calibri"/>
          <w:szCs w:val="22"/>
        </w:rPr>
        <w:instrText xml:space="preserve"> \* MERGEFORMAT </w:instrText>
      </w:r>
      <w:r w:rsidRPr="00963862">
        <w:rPr>
          <w:rFonts w:ascii="Calibri" w:eastAsia="Microsoft JhengHei" w:hAnsi="Calibri"/>
          <w:szCs w:val="22"/>
        </w:rPr>
      </w:r>
      <w:r w:rsidRPr="00963862">
        <w:rPr>
          <w:rFonts w:ascii="Calibri" w:eastAsia="Microsoft JhengHei" w:hAnsi="Calibri"/>
          <w:szCs w:val="22"/>
        </w:rPr>
        <w:fldChar w:fldCharType="separate"/>
      </w:r>
      <w:r w:rsidR="00963862" w:rsidRPr="00963862">
        <w:rPr>
          <w:rFonts w:ascii="Calibri" w:eastAsia="Microsoft JhengHei" w:hAnsi="Calibri"/>
          <w:iCs/>
          <w:szCs w:val="22"/>
        </w:rPr>
        <w:t xml:space="preserve">Figure </w:t>
      </w:r>
      <w:r w:rsidR="00963862" w:rsidRPr="00963862">
        <w:rPr>
          <w:rFonts w:ascii="Calibri" w:eastAsia="Microsoft JhengHei" w:hAnsi="Calibri"/>
          <w:iCs/>
          <w:noProof/>
          <w:szCs w:val="22"/>
        </w:rPr>
        <w:t>20</w:t>
      </w:r>
      <w:r w:rsidRPr="00963862">
        <w:rPr>
          <w:rFonts w:ascii="Calibri" w:eastAsia="Microsoft JhengHei" w:hAnsi="Calibri"/>
          <w:szCs w:val="22"/>
        </w:rPr>
        <w:fldChar w:fldCharType="end"/>
      </w:r>
      <w:r w:rsidRPr="00963862">
        <w:rPr>
          <w:rFonts w:ascii="Calibri" w:eastAsia="Microsoft JhengHei" w:hAnsi="Calibri"/>
          <w:szCs w:val="22"/>
        </w:rPr>
        <w:t xml:space="preserve"> shows</w:t>
      </w:r>
      <w:r w:rsidRPr="00963862">
        <w:rPr>
          <w:rFonts w:ascii="Calibri" w:eastAsia="Microsoft JhengHei" w:hAnsi="Calibri"/>
        </w:rPr>
        <w:t xml:space="preserve"> </w:t>
      </w:r>
      <w:r w:rsidRPr="00D8750F">
        <w:rPr>
          <w:rFonts w:ascii="Calibri" w:eastAsia="Microsoft JhengHei" w:hAnsi="Calibri"/>
        </w:rPr>
        <w:t xml:space="preserve">the </w:t>
      </w:r>
      <w:r>
        <w:rPr>
          <w:rFonts w:ascii="Calibri" w:eastAsia="Microsoft JhengHei" w:hAnsi="Calibri"/>
        </w:rPr>
        <w:t xml:space="preserve">Welsh-based </w:t>
      </w:r>
      <w:r w:rsidR="00654BBE">
        <w:rPr>
          <w:rFonts w:ascii="Calibri" w:eastAsia="Microsoft JhengHei" w:hAnsi="Calibri"/>
        </w:rPr>
        <w:t>Maritime Sector</w:t>
      </w:r>
      <w:r w:rsidRPr="00D8750F">
        <w:rPr>
          <w:rFonts w:ascii="Calibri" w:eastAsia="Microsoft JhengHei" w:hAnsi="Calibri"/>
        </w:rPr>
        <w:t xml:space="preserve"> </w:t>
      </w:r>
      <w:r>
        <w:rPr>
          <w:rFonts w:ascii="Calibri" w:eastAsia="Microsoft JhengHei" w:hAnsi="Calibri"/>
        </w:rPr>
        <w:t>slightly shrinking</w:t>
      </w:r>
      <w:r w:rsidRPr="00D8750F">
        <w:rPr>
          <w:rFonts w:ascii="Calibri" w:eastAsia="Microsoft JhengHei" w:hAnsi="Calibri"/>
        </w:rPr>
        <w:t xml:space="preserve"> over the five year horizon. Our forecast indicates that </w:t>
      </w:r>
      <w:r>
        <w:rPr>
          <w:rFonts w:ascii="Calibri" w:eastAsia="Microsoft JhengHei" w:hAnsi="Calibri"/>
        </w:rPr>
        <w:t xml:space="preserve">Welsh-based </w:t>
      </w:r>
      <w:r w:rsidR="000225F2">
        <w:rPr>
          <w:rFonts w:ascii="Calibri" w:eastAsia="Microsoft JhengHei" w:hAnsi="Calibri"/>
        </w:rPr>
        <w:t>M</w:t>
      </w:r>
      <w:r w:rsidRPr="00D8750F">
        <w:rPr>
          <w:rFonts w:ascii="Calibri" w:eastAsia="Microsoft JhengHei" w:hAnsi="Calibri"/>
        </w:rPr>
        <w:t xml:space="preserve">aritime turnover and GVA are set to grow at a Compounded Annual Growth rate (CAGR) of </w:t>
      </w:r>
      <w:r>
        <w:rPr>
          <w:rFonts w:ascii="Calibri" w:eastAsia="Microsoft JhengHei" w:hAnsi="Calibri"/>
        </w:rPr>
        <w:t>-1.5</w:t>
      </w:r>
      <w:r w:rsidRPr="00D8750F">
        <w:rPr>
          <w:rFonts w:ascii="Calibri" w:eastAsia="Microsoft JhengHei" w:hAnsi="Calibri"/>
        </w:rPr>
        <w:t xml:space="preserve">% over the considered period. </w:t>
      </w:r>
      <w:r w:rsidR="00D83237">
        <w:rPr>
          <w:rFonts w:ascii="Calibri" w:eastAsia="Microsoft JhengHei" w:hAnsi="Calibri"/>
        </w:rPr>
        <w:t>In GVA and t</w:t>
      </w:r>
      <w:r w:rsidRPr="00D8750F">
        <w:rPr>
          <w:rFonts w:ascii="Calibri" w:eastAsia="Microsoft JhengHei" w:hAnsi="Calibri"/>
        </w:rPr>
        <w:t xml:space="preserve">his translates into a cumulative </w:t>
      </w:r>
      <w:r>
        <w:rPr>
          <w:rFonts w:ascii="Calibri" w:eastAsia="Microsoft JhengHei" w:hAnsi="Calibri"/>
        </w:rPr>
        <w:t>nominal decline</w:t>
      </w:r>
      <w:r w:rsidRPr="00D8750F">
        <w:rPr>
          <w:rFonts w:ascii="Calibri" w:eastAsia="Microsoft JhengHei" w:hAnsi="Calibri"/>
        </w:rPr>
        <w:t xml:space="preserve"> of </w:t>
      </w:r>
      <w:r w:rsidR="00D83237">
        <w:rPr>
          <w:rFonts w:ascii="Calibri" w:eastAsia="Microsoft JhengHei" w:hAnsi="Calibri"/>
        </w:rPr>
        <w:t>7.3</w:t>
      </w:r>
      <w:r w:rsidRPr="00D8750F">
        <w:rPr>
          <w:rFonts w:ascii="Calibri" w:eastAsia="Microsoft JhengHei" w:hAnsi="Calibri"/>
        </w:rPr>
        <w:t>% for 2</w:t>
      </w:r>
      <w:r w:rsidR="00D83237">
        <w:rPr>
          <w:rFonts w:ascii="Calibri" w:eastAsia="Microsoft JhengHei" w:hAnsi="Calibri"/>
        </w:rPr>
        <w:t>018</w:t>
      </w:r>
      <w:r w:rsidRPr="00D8750F">
        <w:rPr>
          <w:rFonts w:ascii="Calibri" w:eastAsia="Microsoft JhengHei" w:hAnsi="Calibri"/>
        </w:rPr>
        <w:t>-2023</w:t>
      </w:r>
      <w:r w:rsidR="002A469B">
        <w:rPr>
          <w:rFonts w:ascii="Calibri" w:eastAsia="Microsoft JhengHei" w:hAnsi="Calibri"/>
        </w:rPr>
        <w:t xml:space="preserve">. </w:t>
      </w:r>
      <w:r w:rsidR="00EC441F">
        <w:rPr>
          <w:rFonts w:ascii="Calibri" w:eastAsia="Microsoft JhengHei" w:hAnsi="Calibri"/>
        </w:rPr>
        <w:t>D</w:t>
      </w:r>
      <w:r w:rsidR="002A469B">
        <w:rPr>
          <w:rFonts w:ascii="Calibri" w:eastAsia="Microsoft JhengHei" w:hAnsi="Calibri"/>
        </w:rPr>
        <w:t xml:space="preserve">espite </w:t>
      </w:r>
      <w:r w:rsidR="008B1B0F">
        <w:rPr>
          <w:rFonts w:ascii="Calibri" w:eastAsia="Microsoft JhengHei" w:hAnsi="Calibri"/>
        </w:rPr>
        <w:t>projected positive</w:t>
      </w:r>
      <w:r w:rsidR="002A469B">
        <w:rPr>
          <w:rFonts w:ascii="Calibri" w:eastAsia="Microsoft JhengHei" w:hAnsi="Calibri"/>
        </w:rPr>
        <w:t xml:space="preserve"> </w:t>
      </w:r>
      <w:r w:rsidR="00EC441F">
        <w:rPr>
          <w:rFonts w:ascii="Calibri" w:eastAsia="Microsoft JhengHei" w:hAnsi="Calibri"/>
        </w:rPr>
        <w:t xml:space="preserve">growth </w:t>
      </w:r>
      <w:r w:rsidR="002A469B">
        <w:rPr>
          <w:rFonts w:ascii="Calibri" w:eastAsia="Microsoft JhengHei" w:hAnsi="Calibri"/>
        </w:rPr>
        <w:t xml:space="preserve">for the Welsh economy </w:t>
      </w:r>
      <w:r w:rsidR="008B1B0F">
        <w:rPr>
          <w:rFonts w:ascii="Calibri" w:eastAsia="Microsoft JhengHei" w:hAnsi="Calibri"/>
        </w:rPr>
        <w:t xml:space="preserve">and UK trade </w:t>
      </w:r>
      <w:r w:rsidR="00EC441F">
        <w:rPr>
          <w:rFonts w:ascii="Calibri" w:eastAsia="Microsoft JhengHei" w:hAnsi="Calibri"/>
        </w:rPr>
        <w:t>this is</w:t>
      </w:r>
      <w:r w:rsidR="002A469B">
        <w:rPr>
          <w:rFonts w:ascii="Calibri" w:eastAsia="Microsoft JhengHei" w:hAnsi="Calibri"/>
        </w:rPr>
        <w:t xml:space="preserve"> not enough to support positive growth in the Welsh Maritime Sector</w:t>
      </w:r>
      <w:r w:rsidR="00EC441F">
        <w:rPr>
          <w:rFonts w:ascii="Calibri" w:eastAsia="Microsoft JhengHei" w:hAnsi="Calibri"/>
        </w:rPr>
        <w:t>, however it helps</w:t>
      </w:r>
      <w:r w:rsidR="002A469B">
        <w:rPr>
          <w:rFonts w:ascii="Calibri" w:eastAsia="Microsoft JhengHei" w:hAnsi="Calibri"/>
        </w:rPr>
        <w:t xml:space="preserve"> </w:t>
      </w:r>
      <w:r w:rsidR="00EC441F">
        <w:rPr>
          <w:rFonts w:ascii="Calibri" w:eastAsia="Microsoft JhengHei" w:hAnsi="Calibri"/>
        </w:rPr>
        <w:t>to</w:t>
      </w:r>
      <w:r w:rsidR="002A469B">
        <w:rPr>
          <w:rFonts w:ascii="Calibri" w:eastAsia="Microsoft JhengHei" w:hAnsi="Calibri"/>
        </w:rPr>
        <w:t xml:space="preserve"> dampen the forecasted decrease</w:t>
      </w:r>
      <w:r w:rsidR="007360E0">
        <w:rPr>
          <w:rFonts w:ascii="Calibri" w:eastAsia="Microsoft JhengHei" w:hAnsi="Calibri"/>
        </w:rPr>
        <w:t xml:space="preserve">. </w:t>
      </w:r>
    </w:p>
    <w:p w14:paraId="58565E45" w14:textId="77777777" w:rsidR="000A265C" w:rsidRDefault="000A265C" w:rsidP="000032D9">
      <w:pPr>
        <w:rPr>
          <w:rFonts w:ascii="Calibri" w:eastAsia="Microsoft JhengHei" w:hAnsi="Calibri"/>
        </w:rPr>
      </w:pPr>
    </w:p>
    <w:p w14:paraId="046B5E41" w14:textId="77777777" w:rsidR="000A265C" w:rsidRDefault="000A265C" w:rsidP="000032D9">
      <w:pPr>
        <w:rPr>
          <w:rFonts w:ascii="Calibri" w:eastAsia="Microsoft JhengHei" w:hAnsi="Calibri"/>
        </w:rPr>
      </w:pPr>
    </w:p>
    <w:p w14:paraId="260B8748" w14:textId="77777777" w:rsidR="000A265C" w:rsidRDefault="000A265C" w:rsidP="000032D9">
      <w:pPr>
        <w:rPr>
          <w:rFonts w:ascii="Calibri" w:eastAsia="Microsoft JhengHei" w:hAnsi="Calibri"/>
        </w:rPr>
      </w:pPr>
    </w:p>
    <w:p w14:paraId="23519A51" w14:textId="77777777" w:rsidR="000A265C" w:rsidRDefault="000A265C" w:rsidP="000032D9">
      <w:pPr>
        <w:rPr>
          <w:rFonts w:ascii="Calibri" w:eastAsia="Microsoft JhengHei" w:hAnsi="Calibri"/>
        </w:rPr>
      </w:pPr>
    </w:p>
    <w:p w14:paraId="0C99E202" w14:textId="77777777" w:rsidR="000A265C" w:rsidRDefault="000A265C" w:rsidP="000032D9">
      <w:pPr>
        <w:rPr>
          <w:rFonts w:ascii="Calibri" w:eastAsia="Microsoft JhengHei" w:hAnsi="Calibri"/>
        </w:rPr>
      </w:pPr>
    </w:p>
    <w:p w14:paraId="06800C45" w14:textId="77777777" w:rsidR="000A265C" w:rsidRDefault="000A265C" w:rsidP="000032D9">
      <w:pPr>
        <w:rPr>
          <w:rFonts w:ascii="Calibri" w:eastAsia="Microsoft JhengHei" w:hAnsi="Calibri"/>
        </w:rPr>
      </w:pPr>
    </w:p>
    <w:p w14:paraId="7963669D" w14:textId="77777777" w:rsidR="000A265C" w:rsidRDefault="000A265C" w:rsidP="000032D9">
      <w:pPr>
        <w:rPr>
          <w:rFonts w:ascii="Calibri" w:eastAsia="Microsoft JhengHei" w:hAnsi="Calibri"/>
        </w:rPr>
      </w:pPr>
    </w:p>
    <w:p w14:paraId="75649409" w14:textId="77777777" w:rsidR="000A265C" w:rsidRDefault="000A265C" w:rsidP="000032D9">
      <w:pPr>
        <w:rPr>
          <w:rFonts w:ascii="Calibri" w:eastAsia="Microsoft JhengHei" w:hAnsi="Calibri"/>
        </w:rPr>
      </w:pPr>
    </w:p>
    <w:p w14:paraId="2E9018FA" w14:textId="77777777" w:rsidR="000A265C" w:rsidRDefault="000A265C" w:rsidP="000032D9">
      <w:pPr>
        <w:rPr>
          <w:rFonts w:ascii="Calibri" w:eastAsia="Microsoft JhengHei" w:hAnsi="Calibri"/>
        </w:rPr>
      </w:pPr>
    </w:p>
    <w:p w14:paraId="691B0476" w14:textId="77777777" w:rsidR="000A265C" w:rsidRDefault="000A265C" w:rsidP="000032D9">
      <w:pPr>
        <w:rPr>
          <w:rFonts w:ascii="Calibri" w:eastAsia="Microsoft JhengHei" w:hAnsi="Calibri"/>
        </w:rPr>
      </w:pPr>
    </w:p>
    <w:p w14:paraId="4C87144F" w14:textId="77777777" w:rsidR="000A265C" w:rsidRDefault="000A265C" w:rsidP="000032D9">
      <w:pPr>
        <w:rPr>
          <w:rFonts w:ascii="Calibri" w:eastAsia="Microsoft JhengHei" w:hAnsi="Calibri"/>
        </w:rPr>
      </w:pPr>
    </w:p>
    <w:p w14:paraId="7522F4AF" w14:textId="77777777" w:rsidR="000A265C" w:rsidRPr="00D8750F" w:rsidRDefault="000A265C" w:rsidP="000032D9">
      <w:pPr>
        <w:rPr>
          <w:rFonts w:ascii="Calibri" w:eastAsia="Microsoft JhengHei" w:hAnsi="Calibri"/>
        </w:rPr>
      </w:pPr>
    </w:p>
    <w:p w14:paraId="49827B47" w14:textId="764BB673" w:rsidR="000032D9" w:rsidRPr="00D8750F" w:rsidRDefault="000032D9" w:rsidP="000032D9">
      <w:pPr>
        <w:spacing w:after="200"/>
        <w:rPr>
          <w:rFonts w:ascii="Calibri" w:eastAsia="Microsoft JhengHei" w:hAnsi="Calibri"/>
          <w:i/>
          <w:iCs/>
          <w:color w:val="008C9B"/>
          <w:sz w:val="18"/>
          <w:szCs w:val="18"/>
        </w:rPr>
      </w:pPr>
      <w:bookmarkStart w:id="90" w:name="_Ref15912248"/>
      <w:r w:rsidRPr="00D8750F">
        <w:rPr>
          <w:rFonts w:ascii="Calibri" w:eastAsia="Microsoft JhengHei" w:hAnsi="Calibri"/>
          <w:i/>
          <w:iCs/>
          <w:color w:val="008C9B"/>
          <w:sz w:val="18"/>
          <w:szCs w:val="18"/>
        </w:rPr>
        <w:lastRenderedPageBreak/>
        <w:t xml:space="preserve">Figure </w:t>
      </w:r>
      <w:r w:rsidRPr="00D8750F">
        <w:rPr>
          <w:rFonts w:ascii="Calibri" w:eastAsia="Microsoft JhengHei" w:hAnsi="Calibri"/>
          <w:i/>
          <w:iCs/>
          <w:noProof/>
          <w:color w:val="008C9B"/>
          <w:sz w:val="18"/>
          <w:szCs w:val="18"/>
        </w:rPr>
        <w:fldChar w:fldCharType="begin"/>
      </w:r>
      <w:r w:rsidRPr="00D8750F">
        <w:rPr>
          <w:rFonts w:ascii="Calibri" w:eastAsia="Microsoft JhengHei" w:hAnsi="Calibri"/>
          <w:i/>
          <w:iCs/>
          <w:noProof/>
          <w:color w:val="008C9B"/>
          <w:sz w:val="18"/>
          <w:szCs w:val="18"/>
        </w:rPr>
        <w:instrText xml:space="preserve"> SEQ Figure \* ARABIC </w:instrText>
      </w:r>
      <w:r w:rsidRPr="00D8750F">
        <w:rPr>
          <w:rFonts w:ascii="Calibri" w:eastAsia="Microsoft JhengHei" w:hAnsi="Calibri"/>
          <w:i/>
          <w:iCs/>
          <w:noProof/>
          <w:color w:val="008C9B"/>
          <w:sz w:val="18"/>
          <w:szCs w:val="18"/>
        </w:rPr>
        <w:fldChar w:fldCharType="separate"/>
      </w:r>
      <w:r w:rsidR="00963862">
        <w:rPr>
          <w:rFonts w:ascii="Calibri" w:eastAsia="Microsoft JhengHei" w:hAnsi="Calibri"/>
          <w:i/>
          <w:iCs/>
          <w:noProof/>
          <w:color w:val="008C9B"/>
          <w:sz w:val="18"/>
          <w:szCs w:val="18"/>
        </w:rPr>
        <w:t>20</w:t>
      </w:r>
      <w:r w:rsidRPr="00D8750F">
        <w:rPr>
          <w:rFonts w:ascii="Calibri" w:eastAsia="Microsoft JhengHei" w:hAnsi="Calibri"/>
          <w:i/>
          <w:iCs/>
          <w:noProof/>
          <w:color w:val="008C9B"/>
          <w:sz w:val="18"/>
          <w:szCs w:val="18"/>
        </w:rPr>
        <w:fldChar w:fldCharType="end"/>
      </w:r>
      <w:bookmarkEnd w:id="90"/>
      <w:r w:rsidRPr="00D8750F">
        <w:rPr>
          <w:rFonts w:ascii="Calibri" w:eastAsia="Microsoft JhengHei" w:hAnsi="Calibri"/>
          <w:i/>
          <w:iCs/>
          <w:color w:val="008C9B"/>
          <w:sz w:val="18"/>
          <w:szCs w:val="18"/>
        </w:rPr>
        <w:t xml:space="preserve">: </w:t>
      </w:r>
      <w:r>
        <w:rPr>
          <w:rFonts w:ascii="Calibri" w:eastAsia="Microsoft JhengHei" w:hAnsi="Calibri"/>
          <w:i/>
          <w:iCs/>
          <w:color w:val="008C9B"/>
          <w:sz w:val="18"/>
          <w:szCs w:val="18"/>
        </w:rPr>
        <w:t>Welsh</w:t>
      </w:r>
      <w:r w:rsidR="000225F2">
        <w:rPr>
          <w:rFonts w:ascii="Calibri" w:eastAsia="Microsoft JhengHei" w:hAnsi="Calibri"/>
          <w:i/>
          <w:iCs/>
          <w:color w:val="008C9B"/>
          <w:sz w:val="18"/>
          <w:szCs w:val="18"/>
        </w:rPr>
        <w:t xml:space="preserve">-based </w:t>
      </w:r>
      <w:r w:rsidR="00654BBE">
        <w:rPr>
          <w:rFonts w:ascii="Calibri" w:eastAsia="Microsoft JhengHei" w:hAnsi="Calibri"/>
          <w:i/>
          <w:iCs/>
          <w:color w:val="008C9B"/>
          <w:sz w:val="18"/>
          <w:szCs w:val="18"/>
        </w:rPr>
        <w:t>Maritime Sector</w:t>
      </w:r>
      <w:r w:rsidRPr="00D8750F">
        <w:rPr>
          <w:rFonts w:ascii="Calibri" w:eastAsia="Microsoft JhengHei" w:hAnsi="Calibri"/>
          <w:i/>
          <w:iCs/>
          <w:color w:val="008C9B"/>
          <w:sz w:val="18"/>
          <w:szCs w:val="18"/>
        </w:rPr>
        <w:t xml:space="preserve"> turnover and GVA trends and projections, £ million, 2015 to 2023</w:t>
      </w:r>
    </w:p>
    <w:p w14:paraId="6D7267A5" w14:textId="054642A4" w:rsidR="00AB58F0" w:rsidRPr="00E851E8" w:rsidRDefault="002A469B" w:rsidP="00AB58F0">
      <w:pPr>
        <w:tabs>
          <w:tab w:val="left" w:pos="7230"/>
        </w:tabs>
        <w:spacing w:before="60" w:after="120"/>
        <w:jc w:val="right"/>
        <w:rPr>
          <w:i/>
          <w:sz w:val="18"/>
        </w:rPr>
      </w:pPr>
      <w:r>
        <w:rPr>
          <w:noProof/>
          <w:lang w:eastAsia="en-GB"/>
        </w:rPr>
        <w:drawing>
          <wp:anchor distT="0" distB="0" distL="114300" distR="114300" simplePos="0" relativeHeight="251672576" behindDoc="0" locked="0" layoutInCell="1" allowOverlap="1" wp14:anchorId="29D160BA" wp14:editId="0F904EA1">
            <wp:simplePos x="790575" y="1438275"/>
            <wp:positionH relativeFrom="column">
              <wp:align>left</wp:align>
            </wp:positionH>
            <wp:positionV relativeFrom="paragraph">
              <wp:align>top</wp:align>
            </wp:positionV>
            <wp:extent cx="5476875" cy="3448050"/>
            <wp:effectExtent l="0" t="0" r="0" b="0"/>
            <wp:wrapSquare wrapText="bothSides"/>
            <wp:docPr id="10" name="Chart 10">
              <a:extLst xmlns:a="http://schemas.openxmlformats.org/drawingml/2006/main">
                <a:ext uri="{FF2B5EF4-FFF2-40B4-BE49-F238E27FC236}">
                  <a16:creationId xmlns="" xmlns:xdr="http://schemas.openxmlformats.org/drawingml/2006/spreadsheetDrawing" xmlns:a16="http://schemas.microsoft.com/office/drawing/2014/main" xmlns:lc="http://schemas.openxmlformats.org/drawingml/2006/lockedCanvas" id="{03A10AEC-1823-4788-9C62-96BADEA7123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r>
        <w:rPr>
          <w:rFonts w:ascii="Calibri" w:eastAsia="Microsoft JhengHei" w:hAnsi="Calibri"/>
          <w:b/>
        </w:rPr>
        <w:br w:type="textWrapping" w:clear="all"/>
      </w:r>
      <w:r w:rsidR="000A265C">
        <w:rPr>
          <w:rStyle w:val="SubtleEmphasis"/>
          <w:color w:val="auto"/>
          <w:sz w:val="18"/>
        </w:rPr>
        <w:t>Source:</w:t>
      </w:r>
      <w:r w:rsidR="00AB58F0">
        <w:rPr>
          <w:i/>
          <w:sz w:val="18"/>
        </w:rPr>
        <w:t xml:space="preserve"> FAME</w:t>
      </w:r>
      <w:r w:rsidR="00AB58F0" w:rsidRPr="00E851E8">
        <w:rPr>
          <w:i/>
          <w:sz w:val="18"/>
        </w:rPr>
        <w:t>, ONS,</w:t>
      </w:r>
      <w:r w:rsidR="00AB58F0">
        <w:rPr>
          <w:i/>
          <w:sz w:val="18"/>
        </w:rPr>
        <w:t xml:space="preserve"> DfT and</w:t>
      </w:r>
      <w:r w:rsidR="00AB58F0" w:rsidRPr="00E851E8">
        <w:rPr>
          <w:i/>
          <w:sz w:val="18"/>
        </w:rPr>
        <w:t xml:space="preserve"> Cebr analysis</w:t>
      </w:r>
    </w:p>
    <w:p w14:paraId="36063B91" w14:textId="5623C8C8" w:rsidR="008D0671" w:rsidRPr="00E11396" w:rsidRDefault="008D0671" w:rsidP="0088432B">
      <w:pPr>
        <w:rPr>
          <w:rFonts w:ascii="Calibri" w:eastAsia="Microsoft JhengHei" w:hAnsi="Calibri"/>
          <w:b/>
        </w:rPr>
      </w:pPr>
    </w:p>
    <w:p w14:paraId="361B959A" w14:textId="30D430A1" w:rsidR="00C96798" w:rsidRDefault="00C96798" w:rsidP="00C96798">
      <w:pPr>
        <w:pStyle w:val="Heading1"/>
        <w:rPr>
          <w:rFonts w:ascii="Helvetica" w:hAnsi="Helvetica"/>
          <w:color w:val="1E1E1E"/>
        </w:rPr>
      </w:pPr>
      <w:bookmarkStart w:id="91" w:name="_Toc18076351"/>
      <w:r w:rsidRPr="00272B6B">
        <w:rPr>
          <w:rFonts w:eastAsia="Microsoft JhengHei" w:cs="Arial"/>
          <w:color w:val="008C9B"/>
        </w:rPr>
        <w:lastRenderedPageBreak/>
        <w:t>Case Study:</w:t>
      </w:r>
      <w:r>
        <w:rPr>
          <w:rFonts w:eastAsia="Microsoft JhengHei" w:cs="Arial"/>
          <w:color w:val="008C9B"/>
        </w:rPr>
        <w:t xml:space="preserve"> Port facilitated economic development in Wales – Cardiff Bay</w:t>
      </w:r>
      <w:bookmarkEnd w:id="91"/>
    </w:p>
    <w:p w14:paraId="0E10CD24" w14:textId="77777777" w:rsidR="00C96798" w:rsidRDefault="00C96798" w:rsidP="00C96798">
      <w:r>
        <w:t xml:space="preserve">Cardiff Docks has seen several phases of evolution over the course of its two hundred year history, reflecting changes in the nature of the economy in South Wales and the importance of access to the sea in supporting the various kinds of economic activity that have taken place in the area. </w:t>
      </w:r>
    </w:p>
    <w:p w14:paraId="0904E146" w14:textId="77777777" w:rsidR="00C96798" w:rsidRDefault="00C96798" w:rsidP="00C96798">
      <w:r>
        <w:t>Cardiff’s transition from a small town into a major port started around the turn of the nineteenth century, with the development of a canal</w:t>
      </w:r>
      <w:r w:rsidRPr="00C96798">
        <w:rPr>
          <w:rStyle w:val="FootnoteReference"/>
          <w:sz w:val="18"/>
        </w:rPr>
        <w:footnoteReference w:id="19"/>
      </w:r>
      <w:r w:rsidRPr="00C96798">
        <w:rPr>
          <w:sz w:val="24"/>
        </w:rPr>
        <w:t xml:space="preserve"> </w:t>
      </w:r>
      <w:r>
        <w:t>linking the industrialising valleys to its north with the sea. This enabled significant export markets for coal and iron products to develop. Following construction of a rail link</w:t>
      </w:r>
      <w:r w:rsidRPr="00C96798">
        <w:rPr>
          <w:rStyle w:val="FootnoteReference"/>
          <w:sz w:val="18"/>
        </w:rPr>
        <w:footnoteReference w:id="20"/>
      </w:r>
      <w:r>
        <w:t xml:space="preserve"> and proper dock facilities,</w:t>
      </w:r>
      <w:r w:rsidRPr="00C96798">
        <w:rPr>
          <w:rStyle w:val="FootnoteReference"/>
          <w:sz w:val="18"/>
        </w:rPr>
        <w:footnoteReference w:id="21"/>
      </w:r>
      <w:r>
        <w:t xml:space="preserve"> Cardiff handled almost half of UK iron exports in the mid nineteenth century. The docks continued expanding</w:t>
      </w:r>
      <w:r w:rsidRPr="00C96798">
        <w:rPr>
          <w:rStyle w:val="FootnoteReference"/>
          <w:sz w:val="18"/>
        </w:rPr>
        <w:footnoteReference w:id="22"/>
      </w:r>
      <w:r>
        <w:t xml:space="preserve"> to accommodate growing coal exports, which reached 10.7m tonnes by 1913. By this time Cardiff was one of five principal ports for the export of South Wales coal, along with Swansea, Newport, Llanelli and Barry and it had </w:t>
      </w:r>
      <w:r w:rsidRPr="00D93281">
        <w:t xml:space="preserve">one of the largest </w:t>
      </w:r>
      <w:r>
        <w:t xml:space="preserve">dock systems in the world with 7 miles (11kms) of </w:t>
      </w:r>
      <w:r w:rsidRPr="00D93281">
        <w:t>quay</w:t>
      </w:r>
      <w:r>
        <w:t>s</w:t>
      </w:r>
      <w:r w:rsidRPr="00D93281">
        <w:t xml:space="preserve">. </w:t>
      </w:r>
    </w:p>
    <w:p w14:paraId="73349D5D" w14:textId="77777777" w:rsidR="00C96798" w:rsidRPr="00335F32" w:rsidRDefault="00C96798" w:rsidP="00C96798">
      <w:r w:rsidRPr="00335F32">
        <w:t>The port’s fortunes started to decline after World War I as competitive pressures on South Wales coal intensified</w:t>
      </w:r>
      <w:r>
        <w:t xml:space="preserve"> for various</w:t>
      </w:r>
      <w:r w:rsidRPr="00335F32">
        <w:t xml:space="preserve"> reasons. Capacity issues also meant that Barry took over as the preeminent port for coal exports.  </w:t>
      </w:r>
      <w:r>
        <w:t xml:space="preserve">Decline accelerated following World War II, with the port </w:t>
      </w:r>
      <w:r w:rsidRPr="00335F32">
        <w:t>increasingly handl</w:t>
      </w:r>
      <w:r>
        <w:t>ing</w:t>
      </w:r>
      <w:r w:rsidRPr="00335F32">
        <w:t xml:space="preserve"> </w:t>
      </w:r>
      <w:r>
        <w:t xml:space="preserve">imports, while </w:t>
      </w:r>
      <w:r w:rsidRPr="00335F32">
        <w:t xml:space="preserve">coal exports </w:t>
      </w:r>
      <w:r>
        <w:t xml:space="preserve">ceased altogether from Cardiff in the 1960s. </w:t>
      </w:r>
    </w:p>
    <w:p w14:paraId="5F1BBCC8" w14:textId="338E4258" w:rsidR="00C96798" w:rsidRPr="00335F32" w:rsidRDefault="00C96798" w:rsidP="00C96798">
      <w:r w:rsidRPr="00335F32">
        <w:t>Regeneration began during the 1980s, through the Cardiff Bay Development Corporation. There was a significant transition into non-port uses, including housing, cultural and leisure activities and accommodation for the Welsh Assembly. The port has continued to function however, with two docks remaining in operation (Roath</w:t>
      </w:r>
      <w:r>
        <w:t xml:space="preserve"> Dock and Quee</w:t>
      </w:r>
      <w:r w:rsidRPr="00335F32">
        <w:t xml:space="preserve">n Alexandra). These </w:t>
      </w:r>
      <w:r>
        <w:t xml:space="preserve">port now </w:t>
      </w:r>
      <w:r w:rsidRPr="00335F32">
        <w:t>play</w:t>
      </w:r>
      <w:r>
        <w:t>s</w:t>
      </w:r>
      <w:r w:rsidRPr="00335F32">
        <w:t xml:space="preserve"> a niche role as a local centre for general cargo operations, which include the import and export of containers, steel, forest products and dry and liquid bulks. Throughput is </w:t>
      </w:r>
      <w:r>
        <w:t>approximately 2.5 m</w:t>
      </w:r>
      <w:r w:rsidRPr="00335F32">
        <w:t>illion tonnes per annum. There are 25 berths with a total length of around 5.5km. The port has </w:t>
      </w:r>
      <w:hyperlink r:id="rId24" w:tooltip="Goods shed" w:history="1">
        <w:r w:rsidRPr="00335F32">
          <w:t>transit sheds</w:t>
        </w:r>
      </w:hyperlink>
      <w:r>
        <w:t> with around 40,000</w:t>
      </w:r>
      <w:r w:rsidRPr="00335F32">
        <w:t>m</w:t>
      </w:r>
      <w:r w:rsidRPr="00C96798">
        <w:rPr>
          <w:vertAlign w:val="superscript"/>
        </w:rPr>
        <w:t>2</w:t>
      </w:r>
      <w:r w:rsidRPr="00335F32">
        <w:t> (430,000 sq</w:t>
      </w:r>
      <w:r>
        <w:t>uare</w:t>
      </w:r>
      <w:r w:rsidRPr="00335F32">
        <w:t> f</w:t>
      </w:r>
      <w:r>
        <w:t>ee</w:t>
      </w:r>
      <w:r w:rsidRPr="00335F32">
        <w:t>t) of indoor</w:t>
      </w:r>
      <w:r>
        <w:t xml:space="preserve"> storage and there is over 20 hectares</w:t>
      </w:r>
      <w:r w:rsidRPr="00335F32">
        <w:t xml:space="preserve"> of open storage. Facilities include seven quayside cranes, mobile cranes, a distribution terminal and </w:t>
      </w:r>
      <w:hyperlink r:id="rId25" w:tooltip="Refrigeration" w:history="1">
        <w:r w:rsidRPr="00335F32">
          <w:t>chill and cold storage</w:t>
        </w:r>
      </w:hyperlink>
      <w:r w:rsidRPr="00335F32">
        <w:t> fo</w:t>
      </w:r>
      <w:r>
        <w:t xml:space="preserve">r perishables. </w:t>
      </w:r>
      <w:r w:rsidRPr="00335F32">
        <w:t>Services include chandlers, bunkering, towage, and a Seamen’s Mission</w:t>
      </w:r>
      <w:r>
        <w:t>.</w:t>
      </w:r>
    </w:p>
    <w:p w14:paraId="415289F4" w14:textId="0D46B1B3" w:rsidR="00C96798" w:rsidRDefault="00C96798" w:rsidP="00C96798">
      <w:r>
        <w:t>While there has been very significant diversification away from traditional port activities, with the amenity value of the waterside location established as a major ‘pull factor’ that attracts various non-maritime activities to the area, some of the regeneration in the docks is facilitated by the continued operation of the port. An example of port dependent investment follows.</w:t>
      </w:r>
    </w:p>
    <w:p w14:paraId="40CCFE59" w14:textId="01181E5A" w:rsidR="00C96798" w:rsidRPr="009302D5" w:rsidRDefault="00C96798" w:rsidP="00C96798">
      <w:r>
        <w:t xml:space="preserve">In 2012, a Turkish owned firm, HDM Tubes Ltd chose to establish a UK steel manufacturing operation and they selected Cardiff Docks, investing invested £12m in their factory there. The company is a leading manufacturer of spirally welded LD pipes, i.e. large diameter tubes and specialises in tubular foundation piles used in the construction industry. </w:t>
      </w:r>
      <w:r w:rsidRPr="009302D5">
        <w:t>The mill is laid out t</w:t>
      </w:r>
      <w:r>
        <w:t>o roll heavy gauges of up to 32</w:t>
      </w:r>
      <w:r w:rsidRPr="009302D5">
        <w:t xml:space="preserve">mm and long lengths of tubing, </w:t>
      </w:r>
      <w:r>
        <w:t xml:space="preserve">of </w:t>
      </w:r>
      <w:r w:rsidRPr="009302D5">
        <w:t>up to 45m</w:t>
      </w:r>
      <w:r>
        <w:t xml:space="preserve">. </w:t>
      </w:r>
      <w:r w:rsidRPr="009302D5">
        <w:t>The facility is equipped with a shot blasting and painting facil</w:t>
      </w:r>
      <w:r>
        <w:t>ities</w:t>
      </w:r>
      <w:r w:rsidRPr="009302D5">
        <w:t xml:space="preserve">, </w:t>
      </w:r>
      <w:r w:rsidRPr="009302D5">
        <w:lastRenderedPageBreak/>
        <w:t>clutch</w:t>
      </w:r>
      <w:r>
        <w:t>/</w:t>
      </w:r>
      <w:r w:rsidRPr="009302D5">
        <w:t>interlock welding for combi-wall applications and there is a workshop for building custom made pile designs.</w:t>
      </w:r>
    </w:p>
    <w:p w14:paraId="11DF9FC5" w14:textId="6372C7F0" w:rsidR="00C96798" w:rsidRPr="009302D5" w:rsidRDefault="00C96798" w:rsidP="00C96798">
      <w:r>
        <w:t xml:space="preserve">There is significant interaction with the port. The operator, ABP, discharges steel coil imports, placing them to order under the crane hook in HDM’s factory which is on the quayside. The coil is then formed into spirally welded tubes which is then supplied to customers both by road and ship. In the latter case, stevedoring services are also provided by the port operator. </w:t>
      </w:r>
      <w:r w:rsidRPr="009302D5">
        <w:t>The transportation facilities at the port were significant in the location decision, as they enable the factory to produce and ship long and heavy piles directly to customers</w:t>
      </w:r>
      <w:r>
        <w:t xml:space="preserve"> in a wide range of markets</w:t>
      </w:r>
      <w:r w:rsidRPr="009302D5">
        <w:t>.</w:t>
      </w:r>
      <w:r>
        <w:t xml:space="preserve"> The company in fact supplies markets in the UK, Ireland and Scandinavia from its Cardiff operation.</w:t>
      </w:r>
    </w:p>
    <w:p w14:paraId="025306D5" w14:textId="070F7C40" w:rsidR="00C96798" w:rsidRDefault="00C96798" w:rsidP="00C96798">
      <w:r>
        <w:t xml:space="preserve">As the UK’s </w:t>
      </w:r>
      <w:r w:rsidRPr="009302D5">
        <w:t>only spiral pipe produce</w:t>
      </w:r>
      <w:r>
        <w:t xml:space="preserve">r in heavy gauge and long pipes, the company claims to be </w:t>
      </w:r>
      <w:r w:rsidRPr="009302D5">
        <w:t>able to provide short</w:t>
      </w:r>
      <w:r>
        <w:t>er</w:t>
      </w:r>
      <w:r w:rsidRPr="009302D5">
        <w:t xml:space="preserve"> lead times for specific </w:t>
      </w:r>
      <w:r>
        <w:t xml:space="preserve">UK </w:t>
      </w:r>
      <w:r w:rsidRPr="009302D5">
        <w:t>projects</w:t>
      </w:r>
      <w:r>
        <w:t xml:space="preserve"> than overseas based competitors</w:t>
      </w:r>
      <w:r w:rsidRPr="009302D5">
        <w:t xml:space="preserve">, </w:t>
      </w:r>
      <w:r>
        <w:t xml:space="preserve">helping </w:t>
      </w:r>
      <w:r w:rsidRPr="009302D5">
        <w:t>meet UK custome</w:t>
      </w:r>
      <w:r>
        <w:t xml:space="preserve">r needs more effectively than would otherwise be possible. It also boosts the UK economy through the exports it generates. It has made a modest but valuable contribution to the local economy. For example, although its fortunes have fluctuated, it has annual turnover of around £5m and has continuously employed more than 20 people. The investment shows land on ports’ estates can be successfully recycled for new industrial uses within a ‘Port Economic Zone’ and, more broadly, that UK sea ports continue to play a role in facilitating local economic development. </w:t>
      </w:r>
    </w:p>
    <w:p w14:paraId="4639CE21" w14:textId="77777777" w:rsidR="00C96798" w:rsidRDefault="00C96798" w:rsidP="00C96798"/>
    <w:p w14:paraId="32A59D09" w14:textId="77777777" w:rsidR="00C96798" w:rsidRDefault="00C96798" w:rsidP="00C96798"/>
    <w:p w14:paraId="168632F8" w14:textId="77777777" w:rsidR="00C96798" w:rsidRDefault="00C96798" w:rsidP="00C96798"/>
    <w:p w14:paraId="37533479" w14:textId="77777777" w:rsidR="00C96798" w:rsidRPr="00C96798" w:rsidRDefault="00C96798" w:rsidP="00C96798">
      <w:pPr>
        <w:ind w:firstLine="720"/>
      </w:pPr>
    </w:p>
    <w:p w14:paraId="23332D3D" w14:textId="31E80CCB" w:rsidR="0001130A" w:rsidRDefault="0001130A" w:rsidP="0001130A">
      <w:pPr>
        <w:pStyle w:val="Heading1"/>
      </w:pPr>
      <w:bookmarkStart w:id="92" w:name="_Toc18076352"/>
      <w:r>
        <w:lastRenderedPageBreak/>
        <w:t>Annex: List of Welsh ports</w:t>
      </w:r>
      <w:bookmarkEnd w:id="64"/>
      <w:bookmarkEnd w:id="92"/>
    </w:p>
    <w:p w14:paraId="3C4136AB" w14:textId="29F60869" w:rsidR="0001130A" w:rsidRPr="0001130A" w:rsidRDefault="0001130A" w:rsidP="0001130A">
      <w:pPr>
        <w:pStyle w:val="Caption"/>
        <w:keepNext/>
        <w:spacing w:after="120"/>
      </w:pPr>
      <w:r>
        <w:t>Table A.1: List of Welsh ports considered as part of the study</w:t>
      </w:r>
    </w:p>
    <w:tbl>
      <w:tblPr>
        <w:tblW w:w="8009" w:type="dxa"/>
        <w:tblInd w:w="-10" w:type="dxa"/>
        <w:tblLook w:val="04A0" w:firstRow="1" w:lastRow="0" w:firstColumn="1" w:lastColumn="0" w:noHBand="0" w:noVBand="1"/>
      </w:tblPr>
      <w:tblGrid>
        <w:gridCol w:w="2475"/>
        <w:gridCol w:w="2892"/>
        <w:gridCol w:w="2642"/>
      </w:tblGrid>
      <w:tr w:rsidR="007360E0" w:rsidRPr="007360E0" w14:paraId="5B27EA41" w14:textId="77777777" w:rsidTr="007360E0">
        <w:trPr>
          <w:trHeight w:val="306"/>
        </w:trPr>
        <w:tc>
          <w:tcPr>
            <w:tcW w:w="2475" w:type="dxa"/>
            <w:tcBorders>
              <w:top w:val="nil"/>
              <w:left w:val="single" w:sz="8" w:space="0" w:color="FFFFFF"/>
              <w:bottom w:val="single" w:sz="8" w:space="0" w:color="FFFFFF"/>
              <w:right w:val="single" w:sz="8" w:space="0" w:color="FFFFFF"/>
            </w:tcBorders>
            <w:shd w:val="clear" w:color="000000" w:fill="008C9B"/>
            <w:vAlign w:val="center"/>
            <w:hideMark/>
          </w:tcPr>
          <w:p w14:paraId="30D9DBE6"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Port</w:t>
            </w:r>
          </w:p>
        </w:tc>
        <w:tc>
          <w:tcPr>
            <w:tcW w:w="2892" w:type="dxa"/>
            <w:tcBorders>
              <w:top w:val="nil"/>
              <w:left w:val="nil"/>
              <w:bottom w:val="single" w:sz="8" w:space="0" w:color="FFFFFF"/>
              <w:right w:val="single" w:sz="8" w:space="0" w:color="FFFFFF"/>
            </w:tcBorders>
            <w:shd w:val="clear" w:color="000000" w:fill="008C9B"/>
            <w:vAlign w:val="center"/>
            <w:hideMark/>
          </w:tcPr>
          <w:p w14:paraId="30D5E3C4"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Council Ward</w:t>
            </w:r>
          </w:p>
        </w:tc>
        <w:tc>
          <w:tcPr>
            <w:tcW w:w="2642" w:type="dxa"/>
            <w:tcBorders>
              <w:top w:val="nil"/>
              <w:left w:val="nil"/>
              <w:bottom w:val="single" w:sz="8" w:space="0" w:color="FFFFFF"/>
              <w:right w:val="single" w:sz="8" w:space="0" w:color="FFFFFF"/>
            </w:tcBorders>
            <w:shd w:val="clear" w:color="000000" w:fill="008C9B"/>
            <w:vAlign w:val="center"/>
            <w:hideMark/>
          </w:tcPr>
          <w:p w14:paraId="188FAE8C" w14:textId="77777777" w:rsidR="007360E0" w:rsidRPr="007360E0" w:rsidRDefault="007360E0" w:rsidP="007360E0">
            <w:pPr>
              <w:spacing w:after="0"/>
              <w:jc w:val="center"/>
              <w:rPr>
                <w:rFonts w:ascii="Calibri" w:eastAsia="Times New Roman" w:hAnsi="Calibri"/>
                <w:b/>
                <w:bCs/>
                <w:color w:val="FFFFFF"/>
                <w:sz w:val="20"/>
                <w:lang w:eastAsia="en-GB"/>
              </w:rPr>
            </w:pPr>
            <w:r w:rsidRPr="007360E0">
              <w:rPr>
                <w:rFonts w:ascii="Calibri" w:eastAsia="Times New Roman" w:hAnsi="Calibri"/>
                <w:b/>
                <w:bCs/>
                <w:color w:val="FFFFFF"/>
                <w:sz w:val="20"/>
                <w:lang w:eastAsia="en-GB"/>
              </w:rPr>
              <w:t>Postcode</w:t>
            </w:r>
          </w:p>
        </w:tc>
      </w:tr>
      <w:tr w:rsidR="007360E0" w:rsidRPr="007360E0" w14:paraId="6A26C922" w14:textId="77777777" w:rsidTr="007360E0">
        <w:trPr>
          <w:trHeight w:val="379"/>
        </w:trPr>
        <w:tc>
          <w:tcPr>
            <w:tcW w:w="2475" w:type="dxa"/>
            <w:tcBorders>
              <w:top w:val="nil"/>
              <w:left w:val="nil"/>
              <w:bottom w:val="single" w:sz="8" w:space="0" w:color="FFFFFF"/>
              <w:right w:val="single" w:sz="8" w:space="0" w:color="FFFFFF"/>
            </w:tcBorders>
            <w:shd w:val="clear" w:color="000000" w:fill="E7EEEF"/>
            <w:vAlign w:val="center"/>
            <w:hideMark/>
          </w:tcPr>
          <w:p w14:paraId="25529EB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Anglesey Marine Terminal</w:t>
            </w:r>
          </w:p>
        </w:tc>
        <w:tc>
          <w:tcPr>
            <w:tcW w:w="2892" w:type="dxa"/>
            <w:tcBorders>
              <w:top w:val="nil"/>
              <w:left w:val="nil"/>
              <w:bottom w:val="single" w:sz="8" w:space="0" w:color="FFFFFF"/>
              <w:right w:val="single" w:sz="8" w:space="0" w:color="FFFFFF"/>
            </w:tcBorders>
            <w:shd w:val="clear" w:color="000000" w:fill="E7EEEF"/>
            <w:vAlign w:val="center"/>
            <w:hideMark/>
          </w:tcPr>
          <w:p w14:paraId="6D9EFFC2"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Twrcelyn</w:t>
            </w:r>
          </w:p>
        </w:tc>
        <w:tc>
          <w:tcPr>
            <w:tcW w:w="2642" w:type="dxa"/>
            <w:tcBorders>
              <w:top w:val="nil"/>
              <w:left w:val="nil"/>
              <w:bottom w:val="single" w:sz="8" w:space="0" w:color="FFFFFF"/>
              <w:right w:val="single" w:sz="8" w:space="0" w:color="FFFFFF"/>
            </w:tcBorders>
            <w:shd w:val="clear" w:color="000000" w:fill="E7EEEF"/>
            <w:vAlign w:val="center"/>
            <w:hideMark/>
          </w:tcPr>
          <w:p w14:paraId="07C6A14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LL68 9DB</w:t>
            </w:r>
          </w:p>
        </w:tc>
      </w:tr>
      <w:tr w:rsidR="007360E0" w:rsidRPr="007360E0" w14:paraId="41FE8FC7"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CFF061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Bangor</w:t>
            </w:r>
          </w:p>
        </w:tc>
        <w:tc>
          <w:tcPr>
            <w:tcW w:w="2892" w:type="dxa"/>
            <w:tcBorders>
              <w:top w:val="nil"/>
              <w:left w:val="nil"/>
              <w:bottom w:val="single" w:sz="8" w:space="0" w:color="FFFFFF"/>
              <w:right w:val="single" w:sz="8" w:space="0" w:color="FFFFFF"/>
            </w:tcBorders>
            <w:shd w:val="clear" w:color="000000" w:fill="D0CECE"/>
            <w:vAlign w:val="center"/>
            <w:hideMark/>
          </w:tcPr>
          <w:p w14:paraId="0E99EAB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Harbour</w:t>
            </w:r>
          </w:p>
        </w:tc>
        <w:tc>
          <w:tcPr>
            <w:tcW w:w="2642" w:type="dxa"/>
            <w:tcBorders>
              <w:top w:val="nil"/>
              <w:left w:val="nil"/>
              <w:bottom w:val="single" w:sz="8" w:space="0" w:color="FFFFFF"/>
              <w:right w:val="single" w:sz="8" w:space="0" w:color="FFFFFF"/>
            </w:tcBorders>
            <w:shd w:val="clear" w:color="000000" w:fill="D0CECE"/>
            <w:vAlign w:val="center"/>
            <w:hideMark/>
          </w:tcPr>
          <w:p w14:paraId="41CF1FA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BT20 5ED</w:t>
            </w:r>
          </w:p>
        </w:tc>
      </w:tr>
      <w:tr w:rsidR="007360E0" w:rsidRPr="007360E0" w14:paraId="0C384208"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DDEA90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Barry</w:t>
            </w:r>
          </w:p>
        </w:tc>
        <w:tc>
          <w:tcPr>
            <w:tcW w:w="2892" w:type="dxa"/>
            <w:tcBorders>
              <w:top w:val="nil"/>
              <w:left w:val="nil"/>
              <w:bottom w:val="single" w:sz="8" w:space="0" w:color="FFFFFF"/>
              <w:right w:val="single" w:sz="8" w:space="0" w:color="FFFFFF"/>
            </w:tcBorders>
            <w:shd w:val="clear" w:color="000000" w:fill="E7EEEF"/>
            <w:vAlign w:val="center"/>
            <w:hideMark/>
          </w:tcPr>
          <w:p w14:paraId="42071BF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Castleland</w:t>
            </w:r>
          </w:p>
        </w:tc>
        <w:tc>
          <w:tcPr>
            <w:tcW w:w="2642" w:type="dxa"/>
            <w:tcBorders>
              <w:top w:val="nil"/>
              <w:left w:val="nil"/>
              <w:bottom w:val="single" w:sz="8" w:space="0" w:color="FFFFFF"/>
              <w:right w:val="single" w:sz="8" w:space="0" w:color="FFFFFF"/>
            </w:tcBorders>
            <w:shd w:val="clear" w:color="000000" w:fill="E7EEEF"/>
            <w:vAlign w:val="center"/>
            <w:hideMark/>
          </w:tcPr>
          <w:p w14:paraId="25C8322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CF63 3US</w:t>
            </w:r>
          </w:p>
        </w:tc>
      </w:tr>
      <w:tr w:rsidR="007360E0" w:rsidRPr="007360E0" w14:paraId="7763E30B"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549F42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Bird Port</w:t>
            </w:r>
          </w:p>
        </w:tc>
        <w:tc>
          <w:tcPr>
            <w:tcW w:w="2892" w:type="dxa"/>
            <w:tcBorders>
              <w:top w:val="nil"/>
              <w:left w:val="nil"/>
              <w:bottom w:val="single" w:sz="8" w:space="0" w:color="FFFFFF"/>
              <w:right w:val="single" w:sz="8" w:space="0" w:color="FFFFFF"/>
            </w:tcBorders>
            <w:shd w:val="clear" w:color="000000" w:fill="D0CECE"/>
            <w:vAlign w:val="center"/>
            <w:hideMark/>
          </w:tcPr>
          <w:p w14:paraId="6128BF2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Liswerry</w:t>
            </w:r>
          </w:p>
        </w:tc>
        <w:tc>
          <w:tcPr>
            <w:tcW w:w="2642" w:type="dxa"/>
            <w:tcBorders>
              <w:top w:val="nil"/>
              <w:left w:val="nil"/>
              <w:bottom w:val="single" w:sz="8" w:space="0" w:color="FFFFFF"/>
              <w:right w:val="single" w:sz="8" w:space="0" w:color="FFFFFF"/>
            </w:tcBorders>
            <w:shd w:val="clear" w:color="000000" w:fill="D0CECE"/>
            <w:vAlign w:val="center"/>
            <w:hideMark/>
          </w:tcPr>
          <w:p w14:paraId="733946F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NP19 4RE</w:t>
            </w:r>
          </w:p>
        </w:tc>
      </w:tr>
      <w:tr w:rsidR="007360E0" w:rsidRPr="007360E0" w14:paraId="2EAE913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E0A061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Burry Port</w:t>
            </w:r>
          </w:p>
        </w:tc>
        <w:tc>
          <w:tcPr>
            <w:tcW w:w="2892" w:type="dxa"/>
            <w:tcBorders>
              <w:top w:val="nil"/>
              <w:left w:val="nil"/>
              <w:bottom w:val="single" w:sz="8" w:space="0" w:color="FFFFFF"/>
              <w:right w:val="single" w:sz="8" w:space="0" w:color="FFFFFF"/>
            </w:tcBorders>
            <w:shd w:val="clear" w:color="000000" w:fill="E7EEEF"/>
            <w:vAlign w:val="center"/>
            <w:hideMark/>
          </w:tcPr>
          <w:p w14:paraId="7199A71B"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Burry Port</w:t>
            </w:r>
          </w:p>
        </w:tc>
        <w:tc>
          <w:tcPr>
            <w:tcW w:w="2642" w:type="dxa"/>
            <w:tcBorders>
              <w:top w:val="nil"/>
              <w:left w:val="nil"/>
              <w:bottom w:val="single" w:sz="8" w:space="0" w:color="FFFFFF"/>
              <w:right w:val="single" w:sz="8" w:space="0" w:color="FFFFFF"/>
            </w:tcBorders>
            <w:shd w:val="clear" w:color="000000" w:fill="E7EEEF"/>
            <w:vAlign w:val="center"/>
            <w:hideMark/>
          </w:tcPr>
          <w:p w14:paraId="2EAC9A7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SA16 0ER</w:t>
            </w:r>
          </w:p>
        </w:tc>
      </w:tr>
      <w:tr w:rsidR="007360E0" w:rsidRPr="007360E0" w14:paraId="5DC49209"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7A049CA0"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Caernarfon</w:t>
            </w:r>
          </w:p>
        </w:tc>
        <w:tc>
          <w:tcPr>
            <w:tcW w:w="2892" w:type="dxa"/>
            <w:tcBorders>
              <w:top w:val="nil"/>
              <w:left w:val="nil"/>
              <w:bottom w:val="single" w:sz="8" w:space="0" w:color="FFFFFF"/>
              <w:right w:val="single" w:sz="8" w:space="0" w:color="FFFFFF"/>
            </w:tcBorders>
            <w:shd w:val="clear" w:color="000000" w:fill="D0CECE"/>
            <w:vAlign w:val="center"/>
            <w:hideMark/>
          </w:tcPr>
          <w:p w14:paraId="1DF99D30"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Seiont</w:t>
            </w:r>
          </w:p>
        </w:tc>
        <w:tc>
          <w:tcPr>
            <w:tcW w:w="2642" w:type="dxa"/>
            <w:tcBorders>
              <w:top w:val="nil"/>
              <w:left w:val="nil"/>
              <w:bottom w:val="single" w:sz="8" w:space="0" w:color="FFFFFF"/>
              <w:right w:val="single" w:sz="8" w:space="0" w:color="FFFFFF"/>
            </w:tcBorders>
            <w:shd w:val="clear" w:color="000000" w:fill="D0CECE"/>
            <w:vAlign w:val="center"/>
            <w:hideMark/>
          </w:tcPr>
          <w:p w14:paraId="0C10060B"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LL55 2PB</w:t>
            </w:r>
          </w:p>
        </w:tc>
      </w:tr>
      <w:tr w:rsidR="007360E0" w:rsidRPr="007360E0" w14:paraId="6A7F3682"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9234C6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Cardiff</w:t>
            </w:r>
          </w:p>
        </w:tc>
        <w:tc>
          <w:tcPr>
            <w:tcW w:w="2892" w:type="dxa"/>
            <w:tcBorders>
              <w:top w:val="nil"/>
              <w:left w:val="nil"/>
              <w:bottom w:val="single" w:sz="8" w:space="0" w:color="FFFFFF"/>
              <w:right w:val="single" w:sz="8" w:space="0" w:color="FFFFFF"/>
            </w:tcBorders>
            <w:shd w:val="clear" w:color="000000" w:fill="E7EEEF"/>
            <w:vAlign w:val="center"/>
            <w:hideMark/>
          </w:tcPr>
          <w:p w14:paraId="3A369276"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Butetown</w:t>
            </w:r>
          </w:p>
        </w:tc>
        <w:tc>
          <w:tcPr>
            <w:tcW w:w="2642" w:type="dxa"/>
            <w:tcBorders>
              <w:top w:val="nil"/>
              <w:left w:val="nil"/>
              <w:bottom w:val="single" w:sz="8" w:space="0" w:color="FFFFFF"/>
              <w:right w:val="single" w:sz="8" w:space="0" w:color="FFFFFF"/>
            </w:tcBorders>
            <w:shd w:val="clear" w:color="000000" w:fill="E7EEEF"/>
            <w:vAlign w:val="center"/>
            <w:hideMark/>
          </w:tcPr>
          <w:p w14:paraId="5A9D958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CF10 4LY</w:t>
            </w:r>
          </w:p>
        </w:tc>
      </w:tr>
      <w:tr w:rsidR="007360E0" w:rsidRPr="007360E0" w14:paraId="642DA104"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2D5B15D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Fishguard</w:t>
            </w:r>
          </w:p>
        </w:tc>
        <w:tc>
          <w:tcPr>
            <w:tcW w:w="2892" w:type="dxa"/>
            <w:tcBorders>
              <w:top w:val="nil"/>
              <w:left w:val="nil"/>
              <w:bottom w:val="single" w:sz="8" w:space="0" w:color="FFFFFF"/>
              <w:right w:val="single" w:sz="8" w:space="0" w:color="FFFFFF"/>
            </w:tcBorders>
            <w:shd w:val="clear" w:color="000000" w:fill="D0CECE"/>
            <w:vAlign w:val="center"/>
            <w:hideMark/>
          </w:tcPr>
          <w:p w14:paraId="1A6168D8"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Goodwick</w:t>
            </w:r>
          </w:p>
        </w:tc>
        <w:tc>
          <w:tcPr>
            <w:tcW w:w="2642" w:type="dxa"/>
            <w:tcBorders>
              <w:top w:val="nil"/>
              <w:left w:val="nil"/>
              <w:bottom w:val="single" w:sz="8" w:space="0" w:color="FFFFFF"/>
              <w:right w:val="single" w:sz="8" w:space="0" w:color="FFFFFF"/>
            </w:tcBorders>
            <w:shd w:val="clear" w:color="000000" w:fill="D0CECE"/>
            <w:vAlign w:val="center"/>
            <w:hideMark/>
          </w:tcPr>
          <w:p w14:paraId="25FFDF7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SA64 0BU</w:t>
            </w:r>
          </w:p>
        </w:tc>
      </w:tr>
      <w:tr w:rsidR="007360E0" w:rsidRPr="007360E0" w14:paraId="7151C91E"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586F1C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Holyhead</w:t>
            </w:r>
          </w:p>
        </w:tc>
        <w:tc>
          <w:tcPr>
            <w:tcW w:w="2892" w:type="dxa"/>
            <w:tcBorders>
              <w:top w:val="nil"/>
              <w:left w:val="nil"/>
              <w:bottom w:val="single" w:sz="8" w:space="0" w:color="FFFFFF"/>
              <w:right w:val="single" w:sz="8" w:space="0" w:color="FFFFFF"/>
            </w:tcBorders>
            <w:shd w:val="clear" w:color="000000" w:fill="E7EEEF"/>
            <w:vAlign w:val="center"/>
            <w:hideMark/>
          </w:tcPr>
          <w:p w14:paraId="64F6BC5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Caergybi</w:t>
            </w:r>
          </w:p>
        </w:tc>
        <w:tc>
          <w:tcPr>
            <w:tcW w:w="2642" w:type="dxa"/>
            <w:tcBorders>
              <w:top w:val="nil"/>
              <w:left w:val="nil"/>
              <w:bottom w:val="single" w:sz="8" w:space="0" w:color="FFFFFF"/>
              <w:right w:val="single" w:sz="8" w:space="0" w:color="FFFFFF"/>
            </w:tcBorders>
            <w:shd w:val="clear" w:color="000000" w:fill="E7EEEF"/>
            <w:vAlign w:val="center"/>
            <w:hideMark/>
          </w:tcPr>
          <w:p w14:paraId="68A3DC92"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LL65 1DQ</w:t>
            </w:r>
          </w:p>
        </w:tc>
      </w:tr>
      <w:tr w:rsidR="007360E0" w:rsidRPr="007360E0" w14:paraId="2628F4EA"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99D7C4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Llanddulas</w:t>
            </w:r>
          </w:p>
        </w:tc>
        <w:tc>
          <w:tcPr>
            <w:tcW w:w="2892" w:type="dxa"/>
            <w:tcBorders>
              <w:top w:val="nil"/>
              <w:left w:val="nil"/>
              <w:bottom w:val="single" w:sz="8" w:space="0" w:color="FFFFFF"/>
              <w:right w:val="single" w:sz="8" w:space="0" w:color="FFFFFF"/>
            </w:tcBorders>
            <w:shd w:val="clear" w:color="000000" w:fill="D0CECE"/>
            <w:vAlign w:val="center"/>
            <w:hideMark/>
          </w:tcPr>
          <w:p w14:paraId="59B6B8A4"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Llysfaen</w:t>
            </w:r>
          </w:p>
        </w:tc>
        <w:tc>
          <w:tcPr>
            <w:tcW w:w="2642" w:type="dxa"/>
            <w:tcBorders>
              <w:top w:val="nil"/>
              <w:left w:val="nil"/>
              <w:bottom w:val="single" w:sz="8" w:space="0" w:color="FFFFFF"/>
              <w:right w:val="single" w:sz="8" w:space="0" w:color="FFFFFF"/>
            </w:tcBorders>
            <w:shd w:val="clear" w:color="000000" w:fill="D0CECE"/>
            <w:vAlign w:val="center"/>
            <w:hideMark/>
          </w:tcPr>
          <w:p w14:paraId="51D6528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LL29 9YW</w:t>
            </w:r>
          </w:p>
        </w:tc>
      </w:tr>
      <w:tr w:rsidR="007360E0" w:rsidRPr="007360E0" w14:paraId="535689B1"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0C486FC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Milford Haven</w:t>
            </w:r>
          </w:p>
        </w:tc>
        <w:tc>
          <w:tcPr>
            <w:tcW w:w="2892" w:type="dxa"/>
            <w:tcBorders>
              <w:top w:val="nil"/>
              <w:left w:val="nil"/>
              <w:bottom w:val="single" w:sz="8" w:space="0" w:color="FFFFFF"/>
              <w:right w:val="single" w:sz="8" w:space="0" w:color="FFFFFF"/>
            </w:tcBorders>
            <w:shd w:val="clear" w:color="000000" w:fill="E7EEEF"/>
            <w:vAlign w:val="center"/>
            <w:hideMark/>
          </w:tcPr>
          <w:p w14:paraId="51F4022C"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Haverfordwest: Priory</w:t>
            </w:r>
          </w:p>
        </w:tc>
        <w:tc>
          <w:tcPr>
            <w:tcW w:w="2642" w:type="dxa"/>
            <w:tcBorders>
              <w:top w:val="nil"/>
              <w:left w:val="nil"/>
              <w:bottom w:val="single" w:sz="8" w:space="0" w:color="FFFFFF"/>
              <w:right w:val="single" w:sz="8" w:space="0" w:color="FFFFFF"/>
            </w:tcBorders>
            <w:shd w:val="clear" w:color="000000" w:fill="E7EEEF"/>
            <w:vAlign w:val="center"/>
            <w:hideMark/>
          </w:tcPr>
          <w:p w14:paraId="190441A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SA73 3ER</w:t>
            </w:r>
          </w:p>
        </w:tc>
      </w:tr>
      <w:tr w:rsidR="007360E0" w:rsidRPr="007360E0" w14:paraId="3F0F891E"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39ED1AB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Mostyn</w:t>
            </w:r>
          </w:p>
        </w:tc>
        <w:tc>
          <w:tcPr>
            <w:tcW w:w="2892" w:type="dxa"/>
            <w:tcBorders>
              <w:top w:val="nil"/>
              <w:left w:val="nil"/>
              <w:bottom w:val="single" w:sz="8" w:space="0" w:color="FFFFFF"/>
              <w:right w:val="single" w:sz="8" w:space="0" w:color="FFFFFF"/>
            </w:tcBorders>
            <w:shd w:val="clear" w:color="000000" w:fill="D0CECE"/>
            <w:vAlign w:val="center"/>
            <w:hideMark/>
          </w:tcPr>
          <w:p w14:paraId="582719B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Mostyn (Delyn)</w:t>
            </w:r>
          </w:p>
        </w:tc>
        <w:tc>
          <w:tcPr>
            <w:tcW w:w="2642" w:type="dxa"/>
            <w:tcBorders>
              <w:top w:val="nil"/>
              <w:left w:val="nil"/>
              <w:bottom w:val="single" w:sz="8" w:space="0" w:color="FFFFFF"/>
              <w:right w:val="single" w:sz="8" w:space="0" w:color="FFFFFF"/>
            </w:tcBorders>
            <w:shd w:val="clear" w:color="000000" w:fill="D0CECE"/>
            <w:vAlign w:val="center"/>
            <w:hideMark/>
          </w:tcPr>
          <w:p w14:paraId="6F12CB56"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CH8 9HE</w:t>
            </w:r>
          </w:p>
        </w:tc>
      </w:tr>
      <w:tr w:rsidR="007360E0" w:rsidRPr="007360E0" w14:paraId="60A3C14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520C2CD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Neath</w:t>
            </w:r>
          </w:p>
        </w:tc>
        <w:tc>
          <w:tcPr>
            <w:tcW w:w="2892" w:type="dxa"/>
            <w:tcBorders>
              <w:top w:val="nil"/>
              <w:left w:val="nil"/>
              <w:bottom w:val="single" w:sz="8" w:space="0" w:color="FFFFFF"/>
              <w:right w:val="single" w:sz="8" w:space="0" w:color="FFFFFF"/>
            </w:tcBorders>
            <w:shd w:val="clear" w:color="000000" w:fill="E7EEEF"/>
            <w:vAlign w:val="center"/>
            <w:hideMark/>
          </w:tcPr>
          <w:p w14:paraId="3822533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Neath North</w:t>
            </w:r>
          </w:p>
        </w:tc>
        <w:tc>
          <w:tcPr>
            <w:tcW w:w="2642" w:type="dxa"/>
            <w:tcBorders>
              <w:top w:val="nil"/>
              <w:left w:val="nil"/>
              <w:bottom w:val="single" w:sz="8" w:space="0" w:color="FFFFFF"/>
              <w:right w:val="single" w:sz="8" w:space="0" w:color="FFFFFF"/>
            </w:tcBorders>
            <w:shd w:val="clear" w:color="000000" w:fill="E7EEEF"/>
            <w:vAlign w:val="center"/>
            <w:hideMark/>
          </w:tcPr>
          <w:p w14:paraId="17DEFD2F"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SA11 1RY</w:t>
            </w:r>
          </w:p>
        </w:tc>
      </w:tr>
      <w:tr w:rsidR="007360E0" w:rsidRPr="007360E0" w14:paraId="2FFA6361"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0539918A"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Newport</w:t>
            </w:r>
          </w:p>
        </w:tc>
        <w:tc>
          <w:tcPr>
            <w:tcW w:w="2892" w:type="dxa"/>
            <w:tcBorders>
              <w:top w:val="nil"/>
              <w:left w:val="nil"/>
              <w:bottom w:val="single" w:sz="8" w:space="0" w:color="FFFFFF"/>
              <w:right w:val="single" w:sz="8" w:space="0" w:color="FFFFFF"/>
            </w:tcBorders>
            <w:shd w:val="clear" w:color="000000" w:fill="D0CECE"/>
            <w:vAlign w:val="center"/>
            <w:hideMark/>
          </w:tcPr>
          <w:p w14:paraId="0C91141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Pillgwenlly</w:t>
            </w:r>
          </w:p>
        </w:tc>
        <w:tc>
          <w:tcPr>
            <w:tcW w:w="2642" w:type="dxa"/>
            <w:tcBorders>
              <w:top w:val="nil"/>
              <w:left w:val="nil"/>
              <w:bottom w:val="single" w:sz="8" w:space="0" w:color="FFFFFF"/>
              <w:right w:val="single" w:sz="8" w:space="0" w:color="FFFFFF"/>
            </w:tcBorders>
            <w:shd w:val="clear" w:color="000000" w:fill="D0CECE"/>
            <w:vAlign w:val="center"/>
            <w:hideMark/>
          </w:tcPr>
          <w:p w14:paraId="34BC1EE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 xml:space="preserve">NP2 UW </w:t>
            </w:r>
          </w:p>
        </w:tc>
      </w:tr>
      <w:tr w:rsidR="007360E0" w:rsidRPr="007360E0" w14:paraId="41D300C1"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33C34373"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Penarth</w:t>
            </w:r>
          </w:p>
        </w:tc>
        <w:tc>
          <w:tcPr>
            <w:tcW w:w="2892" w:type="dxa"/>
            <w:tcBorders>
              <w:top w:val="nil"/>
              <w:left w:val="nil"/>
              <w:bottom w:val="single" w:sz="8" w:space="0" w:color="FFFFFF"/>
              <w:right w:val="single" w:sz="8" w:space="0" w:color="FFFFFF"/>
            </w:tcBorders>
            <w:shd w:val="clear" w:color="000000" w:fill="E7EEEF"/>
            <w:vAlign w:val="center"/>
            <w:hideMark/>
          </w:tcPr>
          <w:p w14:paraId="64FF69FE"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St Augustine's</w:t>
            </w:r>
          </w:p>
        </w:tc>
        <w:tc>
          <w:tcPr>
            <w:tcW w:w="2642" w:type="dxa"/>
            <w:tcBorders>
              <w:top w:val="nil"/>
              <w:left w:val="nil"/>
              <w:bottom w:val="single" w:sz="8" w:space="0" w:color="FFFFFF"/>
              <w:right w:val="single" w:sz="8" w:space="0" w:color="FFFFFF"/>
            </w:tcBorders>
            <w:shd w:val="clear" w:color="000000" w:fill="E7EEEF"/>
            <w:vAlign w:val="center"/>
            <w:hideMark/>
          </w:tcPr>
          <w:p w14:paraId="35921F9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CF64 1TQ</w:t>
            </w:r>
          </w:p>
        </w:tc>
      </w:tr>
      <w:tr w:rsidR="007360E0" w:rsidRPr="007360E0" w14:paraId="1344BE46"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56D0D39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Port Penrhyn</w:t>
            </w:r>
          </w:p>
        </w:tc>
        <w:tc>
          <w:tcPr>
            <w:tcW w:w="2892" w:type="dxa"/>
            <w:tcBorders>
              <w:top w:val="nil"/>
              <w:left w:val="nil"/>
              <w:bottom w:val="single" w:sz="8" w:space="0" w:color="FFFFFF"/>
              <w:right w:val="single" w:sz="8" w:space="0" w:color="FFFFFF"/>
            </w:tcBorders>
            <w:shd w:val="clear" w:color="000000" w:fill="D0CECE"/>
            <w:vAlign w:val="center"/>
            <w:hideMark/>
          </w:tcPr>
          <w:p w14:paraId="24521BC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Arllechwedd</w:t>
            </w:r>
          </w:p>
        </w:tc>
        <w:tc>
          <w:tcPr>
            <w:tcW w:w="2642" w:type="dxa"/>
            <w:tcBorders>
              <w:top w:val="nil"/>
              <w:left w:val="nil"/>
              <w:bottom w:val="single" w:sz="8" w:space="0" w:color="FFFFFF"/>
              <w:right w:val="single" w:sz="8" w:space="0" w:color="FFFFFF"/>
            </w:tcBorders>
            <w:shd w:val="clear" w:color="000000" w:fill="D0CECE"/>
            <w:vAlign w:val="center"/>
            <w:hideMark/>
          </w:tcPr>
          <w:p w14:paraId="7D00658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LL57 4HN</w:t>
            </w:r>
          </w:p>
        </w:tc>
      </w:tr>
      <w:tr w:rsidR="007360E0" w:rsidRPr="007360E0" w14:paraId="57E446D5"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4F443435"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Port Talbot</w:t>
            </w:r>
          </w:p>
        </w:tc>
        <w:tc>
          <w:tcPr>
            <w:tcW w:w="2892" w:type="dxa"/>
            <w:tcBorders>
              <w:top w:val="nil"/>
              <w:left w:val="nil"/>
              <w:bottom w:val="single" w:sz="8" w:space="0" w:color="FFFFFF"/>
              <w:right w:val="single" w:sz="8" w:space="0" w:color="FFFFFF"/>
            </w:tcBorders>
            <w:shd w:val="clear" w:color="000000" w:fill="E7EEEF"/>
            <w:vAlign w:val="center"/>
            <w:hideMark/>
          </w:tcPr>
          <w:p w14:paraId="0693B89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Margam</w:t>
            </w:r>
          </w:p>
        </w:tc>
        <w:tc>
          <w:tcPr>
            <w:tcW w:w="2642" w:type="dxa"/>
            <w:tcBorders>
              <w:top w:val="nil"/>
              <w:left w:val="nil"/>
              <w:bottom w:val="single" w:sz="8" w:space="0" w:color="FFFFFF"/>
              <w:right w:val="single" w:sz="8" w:space="0" w:color="FFFFFF"/>
            </w:tcBorders>
            <w:shd w:val="clear" w:color="000000" w:fill="E7EEEF"/>
            <w:vAlign w:val="center"/>
            <w:hideMark/>
          </w:tcPr>
          <w:p w14:paraId="6C1E0CF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SA13 1RB</w:t>
            </w:r>
          </w:p>
        </w:tc>
      </w:tr>
      <w:tr w:rsidR="007360E0" w:rsidRPr="007360E0" w14:paraId="754BB4F2" w14:textId="77777777" w:rsidTr="007360E0">
        <w:trPr>
          <w:trHeight w:val="306"/>
        </w:trPr>
        <w:tc>
          <w:tcPr>
            <w:tcW w:w="2475" w:type="dxa"/>
            <w:tcBorders>
              <w:top w:val="nil"/>
              <w:left w:val="nil"/>
              <w:bottom w:val="single" w:sz="8" w:space="0" w:color="FFFFFF"/>
              <w:right w:val="single" w:sz="8" w:space="0" w:color="FFFFFF"/>
            </w:tcBorders>
            <w:shd w:val="clear" w:color="000000" w:fill="D0CECE"/>
            <w:vAlign w:val="center"/>
            <w:hideMark/>
          </w:tcPr>
          <w:p w14:paraId="6B7E30D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Shotton</w:t>
            </w:r>
          </w:p>
        </w:tc>
        <w:tc>
          <w:tcPr>
            <w:tcW w:w="2892" w:type="dxa"/>
            <w:tcBorders>
              <w:top w:val="nil"/>
              <w:left w:val="nil"/>
              <w:bottom w:val="single" w:sz="8" w:space="0" w:color="FFFFFF"/>
              <w:right w:val="single" w:sz="8" w:space="0" w:color="FFFFFF"/>
            </w:tcBorders>
            <w:shd w:val="clear" w:color="000000" w:fill="D0CECE"/>
            <w:vAlign w:val="center"/>
            <w:hideMark/>
          </w:tcPr>
          <w:p w14:paraId="6323C127"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Dewi</w:t>
            </w:r>
          </w:p>
        </w:tc>
        <w:tc>
          <w:tcPr>
            <w:tcW w:w="2642" w:type="dxa"/>
            <w:tcBorders>
              <w:top w:val="nil"/>
              <w:left w:val="nil"/>
              <w:bottom w:val="single" w:sz="8" w:space="0" w:color="FFFFFF"/>
              <w:right w:val="single" w:sz="8" w:space="0" w:color="FFFFFF"/>
            </w:tcBorders>
            <w:shd w:val="clear" w:color="000000" w:fill="D0CECE"/>
            <w:vAlign w:val="center"/>
            <w:hideMark/>
          </w:tcPr>
          <w:p w14:paraId="6DB5DF7D"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LL57 2DJ</w:t>
            </w:r>
          </w:p>
        </w:tc>
      </w:tr>
      <w:tr w:rsidR="007360E0" w:rsidRPr="007360E0" w14:paraId="54D17B70" w14:textId="77777777" w:rsidTr="007360E0">
        <w:trPr>
          <w:trHeight w:val="306"/>
        </w:trPr>
        <w:tc>
          <w:tcPr>
            <w:tcW w:w="2475" w:type="dxa"/>
            <w:tcBorders>
              <w:top w:val="nil"/>
              <w:left w:val="nil"/>
              <w:bottom w:val="single" w:sz="8" w:space="0" w:color="FFFFFF"/>
              <w:right w:val="single" w:sz="8" w:space="0" w:color="FFFFFF"/>
            </w:tcBorders>
            <w:shd w:val="clear" w:color="000000" w:fill="E7EEEF"/>
            <w:vAlign w:val="center"/>
            <w:hideMark/>
          </w:tcPr>
          <w:p w14:paraId="74698F89"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Swansea</w:t>
            </w:r>
          </w:p>
        </w:tc>
        <w:tc>
          <w:tcPr>
            <w:tcW w:w="2892" w:type="dxa"/>
            <w:tcBorders>
              <w:top w:val="nil"/>
              <w:left w:val="nil"/>
              <w:bottom w:val="single" w:sz="8" w:space="0" w:color="FFFFFF"/>
              <w:right w:val="single" w:sz="8" w:space="0" w:color="FFFFFF"/>
            </w:tcBorders>
            <w:shd w:val="clear" w:color="000000" w:fill="E7EEEF"/>
            <w:vAlign w:val="center"/>
            <w:hideMark/>
          </w:tcPr>
          <w:p w14:paraId="10B48311"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 xml:space="preserve">St Thomas </w:t>
            </w:r>
          </w:p>
        </w:tc>
        <w:tc>
          <w:tcPr>
            <w:tcW w:w="2642" w:type="dxa"/>
            <w:tcBorders>
              <w:top w:val="nil"/>
              <w:left w:val="nil"/>
              <w:bottom w:val="single" w:sz="8" w:space="0" w:color="FFFFFF"/>
              <w:right w:val="single" w:sz="8" w:space="0" w:color="FFFFFF"/>
            </w:tcBorders>
            <w:shd w:val="clear" w:color="000000" w:fill="E7EEEF"/>
            <w:vAlign w:val="center"/>
            <w:hideMark/>
          </w:tcPr>
          <w:p w14:paraId="7814E63C" w14:textId="77777777" w:rsidR="007360E0" w:rsidRPr="007360E0" w:rsidRDefault="007360E0" w:rsidP="007360E0">
            <w:pPr>
              <w:spacing w:after="0"/>
              <w:jc w:val="center"/>
              <w:rPr>
                <w:rFonts w:ascii="Calibri" w:eastAsia="Times New Roman" w:hAnsi="Calibri"/>
                <w:color w:val="000000"/>
                <w:sz w:val="20"/>
                <w:lang w:eastAsia="en-GB"/>
              </w:rPr>
            </w:pPr>
            <w:r w:rsidRPr="007360E0">
              <w:rPr>
                <w:rFonts w:ascii="Calibri" w:eastAsia="Times New Roman" w:hAnsi="Calibri"/>
                <w:color w:val="000000"/>
                <w:sz w:val="20"/>
                <w:lang w:eastAsia="en-GB"/>
              </w:rPr>
              <w:t>SA1 1QR</w:t>
            </w:r>
          </w:p>
        </w:tc>
      </w:tr>
    </w:tbl>
    <w:p w14:paraId="2E3FA230" w14:textId="07F3AB0F" w:rsidR="0001130A" w:rsidRPr="0001130A" w:rsidRDefault="0001130A" w:rsidP="0001130A"/>
    <w:p w14:paraId="1B6C16B2" w14:textId="4250341B" w:rsidR="00256745" w:rsidRPr="00256745" w:rsidRDefault="00256745" w:rsidP="00256745">
      <w:pPr>
        <w:rPr>
          <w:rFonts w:ascii="Calibri" w:eastAsia="Microsoft JhengHei" w:hAnsi="Calibri"/>
          <w:szCs w:val="22"/>
        </w:rPr>
      </w:pPr>
    </w:p>
    <w:sectPr w:rsidR="00256745" w:rsidRPr="00256745" w:rsidSect="00FE110C">
      <w:headerReference w:type="default" r:id="rId26"/>
      <w:footerReference w:type="default" r:id="rId27"/>
      <w:headerReference w:type="first" r:id="rId28"/>
      <w:footerReference w:type="first" r:id="rId29"/>
      <w:pgSz w:w="11906" w:h="16838" w:code="9"/>
      <w:pgMar w:top="2268" w:right="1247" w:bottom="1134" w:left="1247" w:header="567" w:footer="19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8CE68E1" w14:textId="77777777" w:rsidR="001E63EE" w:rsidRDefault="001E63EE" w:rsidP="00717C6C">
      <w:r>
        <w:separator/>
      </w:r>
    </w:p>
  </w:endnote>
  <w:endnote w:type="continuationSeparator" w:id="0">
    <w:p w14:paraId="2A59E9B4" w14:textId="77777777" w:rsidR="001E63EE" w:rsidRDefault="001E63EE" w:rsidP="00717C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Gotham Light">
    <w:altName w:val="Arial"/>
    <w:panose1 w:val="00000000000000000000"/>
    <w:charset w:val="00"/>
    <w:family w:val="modern"/>
    <w:notTrueType/>
    <w:pitch w:val="variable"/>
    <w:sig w:usb0="00000001" w:usb1="4000005B" w:usb2="00000000" w:usb3="00000000" w:csb0="0000009B"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icrosoft JhengHei">
    <w:panose1 w:val="020B0604030504040204"/>
    <w:charset w:val="88"/>
    <w:family w:val="swiss"/>
    <w:pitch w:val="variable"/>
    <w:sig w:usb0="00000087" w:usb1="288F4000" w:usb2="00000016" w:usb3="00000000" w:csb0="00100009"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mn-ea">
    <w:altName w:val="Times New Roman"/>
    <w:panose1 w:val="00000000000000000000"/>
    <w:charset w:val="00"/>
    <w:family w:val="roman"/>
    <w:notTrueType/>
    <w:pitch w:val="default"/>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C94442" w14:textId="77777777" w:rsidR="001E63EE" w:rsidRPr="005D37CB" w:rsidRDefault="001E63EE" w:rsidP="005D37CB">
    <w:pPr>
      <w:pStyle w:val="Footer"/>
    </w:pPr>
    <w:r>
      <w:rPr>
        <w:rFonts w:cstheme="minorHAnsi"/>
        <w:noProof/>
        <w:lang w:eastAsia="en-GB"/>
      </w:rPr>
      <w:drawing>
        <wp:anchor distT="0" distB="0" distL="114300" distR="114300" simplePos="0" relativeHeight="251664384" behindDoc="0" locked="1" layoutInCell="1" allowOverlap="1" wp14:anchorId="1BA403F2" wp14:editId="7E382790">
          <wp:simplePos x="0" y="0"/>
          <wp:positionH relativeFrom="page">
            <wp:posOffset>6336665</wp:posOffset>
          </wp:positionH>
          <wp:positionV relativeFrom="page">
            <wp:posOffset>10318750</wp:posOffset>
          </wp:positionV>
          <wp:extent cx="431800" cy="154305"/>
          <wp:effectExtent l="0" t="0" r="635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_white_logo_tex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31800" cy="154305"/>
                  </a:xfrm>
                  <a:prstGeom prst="rect">
                    <a:avLst/>
                  </a:prstGeom>
                </pic:spPr>
              </pic:pic>
            </a:graphicData>
          </a:graphic>
          <wp14:sizeRelH relativeFrom="page">
            <wp14:pctWidth>0</wp14:pctWidth>
          </wp14:sizeRelH>
          <wp14:sizeRelV relativeFrom="page">
            <wp14:pctHeight>0</wp14:pctHeight>
          </wp14:sizeRelV>
        </wp:anchor>
      </w:drawing>
    </w:r>
    <w:r>
      <w:rPr>
        <w:rFonts w:cstheme="minorHAnsi"/>
      </w:rPr>
      <w:t>©</w:t>
    </w:r>
    <w:r>
      <w:rPr>
        <w:noProof/>
        <w:lang w:eastAsia="en-GB"/>
      </w:rPr>
      <mc:AlternateContent>
        <mc:Choice Requires="wps">
          <w:drawing>
            <wp:anchor distT="0" distB="0" distL="114300" distR="114300" simplePos="0" relativeHeight="251662336" behindDoc="1" locked="1" layoutInCell="1" allowOverlap="1" wp14:anchorId="4B52B88C" wp14:editId="3F7EA8CD">
              <wp:simplePos x="0" y="0"/>
              <wp:positionH relativeFrom="page">
                <wp:posOffset>0</wp:posOffset>
              </wp:positionH>
              <wp:positionV relativeFrom="page">
                <wp:posOffset>10248900</wp:posOffset>
              </wp:positionV>
              <wp:extent cx="7559675" cy="445135"/>
              <wp:effectExtent l="0" t="0" r="3175" b="0"/>
              <wp:wrapNone/>
              <wp:docPr id="3" name="Rectangle 3"/>
              <wp:cNvGraphicFramePr/>
              <a:graphic xmlns:a="http://schemas.openxmlformats.org/drawingml/2006/main">
                <a:graphicData uri="http://schemas.microsoft.com/office/word/2010/wordprocessingShape">
                  <wps:wsp>
                    <wps:cNvSpPr/>
                    <wps:spPr>
                      <a:xfrm>
                        <a:off x="0" y="0"/>
                        <a:ext cx="7559675" cy="44513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A8F2F5" id="Rectangle 3" o:spid="_x0000_s1026" style="position:absolute;margin-left:0;margin-top:807pt;width:595.25pt;height:35.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" fillcolor="#008c9b [3204]" stroked="f" strokeweight="2pt">
              <w10:wrap anchorx="page" anchory="page"/>
              <w10:anchorlock/>
            </v:rect>
          </w:pict>
        </mc:Fallback>
      </mc:AlternateContent>
    </w:r>
    <w:r>
      <w:t xml:space="preserve"> Centre for Economics and Business Research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4E1D46" w14:textId="77777777" w:rsidR="001E63EE" w:rsidRDefault="001E63EE" w:rsidP="008B0A02">
    <w:pPr>
      <w:pStyle w:val="Footer"/>
    </w:pPr>
    <w:r>
      <w:rPr>
        <w:noProof/>
        <w:lang w:eastAsia="en-GB"/>
      </w:rPr>
      <w:drawing>
        <wp:anchor distT="0" distB="0" distL="114300" distR="114300" simplePos="0" relativeHeight="251663360" behindDoc="0" locked="1" layoutInCell="1" allowOverlap="1" wp14:anchorId="1A9B28A1" wp14:editId="4D727284">
          <wp:simplePos x="0" y="0"/>
          <wp:positionH relativeFrom="page">
            <wp:posOffset>5796915</wp:posOffset>
          </wp:positionH>
          <wp:positionV relativeFrom="page">
            <wp:posOffset>9541510</wp:posOffset>
          </wp:positionV>
          <wp:extent cx="986400" cy="345600"/>
          <wp:effectExtent l="0" t="0" r="4445"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ty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86400" cy="345600"/>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0288" behindDoc="0" locked="1" layoutInCell="1" allowOverlap="1" wp14:anchorId="3AA01D7A" wp14:editId="2B979DE6">
          <wp:simplePos x="0" y="0"/>
          <wp:positionH relativeFrom="page">
            <wp:posOffset>5867400</wp:posOffset>
          </wp:positionH>
          <wp:positionV relativeFrom="page">
            <wp:posOffset>790575</wp:posOffset>
          </wp:positionV>
          <wp:extent cx="895985" cy="89598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br logo vector box.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95985" cy="895985"/>
                  </a:xfrm>
                  <a:prstGeom prst="rect">
                    <a:avLst/>
                  </a:prstGeom>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6432" behindDoc="1" locked="1" layoutInCell="1" allowOverlap="1" wp14:anchorId="72914C74" wp14:editId="4B2EFE6B">
              <wp:simplePos x="0" y="0"/>
              <wp:positionH relativeFrom="page">
                <wp:posOffset>0</wp:posOffset>
              </wp:positionH>
              <wp:positionV relativeFrom="page">
                <wp:posOffset>8858250</wp:posOffset>
              </wp:positionV>
              <wp:extent cx="7560000" cy="1836000"/>
              <wp:effectExtent l="0" t="0" r="3175" b="0"/>
              <wp:wrapNone/>
              <wp:docPr id="1" name="Rectangle 1"/>
              <wp:cNvGraphicFramePr/>
              <a:graphic xmlns:a="http://schemas.openxmlformats.org/drawingml/2006/main">
                <a:graphicData uri="http://schemas.microsoft.com/office/word/2010/wordprocessingShape">
                  <wps:wsp>
                    <wps:cNvSpPr/>
                    <wps:spPr>
                      <a:xfrm>
                        <a:off x="0" y="0"/>
                        <a:ext cx="7560000" cy="1836000"/>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9F58A0" id="Rectangle 1" o:spid="_x0000_s1026" style="position:absolute;margin-left:0;margin-top:697.5pt;width:595.3pt;height:144.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" fillcolor="#008c9b [3204]" stroked="f" strokeweight="2pt">
              <w10:wrap anchorx="page" anchory="page"/>
              <w10:anchorlock/>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8F5C5E" w14:textId="77777777" w:rsidR="001E63EE" w:rsidRDefault="001E63EE" w:rsidP="00717C6C"/>
  </w:footnote>
  <w:footnote w:type="continuationSeparator" w:id="0">
    <w:p w14:paraId="1A916C66" w14:textId="77777777" w:rsidR="001E63EE" w:rsidRDefault="001E63EE" w:rsidP="00717C6C">
      <w:r>
        <w:continuationSeparator/>
      </w:r>
    </w:p>
  </w:footnote>
  <w:footnote w:id="1">
    <w:p w14:paraId="211CEAD2" w14:textId="0607281A" w:rsidR="001E63EE" w:rsidRPr="00587C33" w:rsidRDefault="001E63EE">
      <w:pPr>
        <w:pStyle w:val="FootnoteText"/>
      </w:pPr>
      <w:r w:rsidRPr="00587C33">
        <w:rPr>
          <w:sz w:val="22"/>
          <w:vertAlign w:val="superscript"/>
        </w:rPr>
        <w:footnoteRef/>
      </w:r>
      <w:r w:rsidRPr="00587C33">
        <w:rPr>
          <w:sz w:val="22"/>
          <w:vertAlign w:val="superscript"/>
        </w:rPr>
        <w:t xml:space="preserve"> </w:t>
      </w:r>
      <w:r w:rsidRPr="00587C33">
        <w:rPr>
          <w:rStyle w:val="FootnoteReference"/>
          <w:rFonts w:ascii="Calibri" w:eastAsia="Microsoft JhengHei" w:hAnsi="Calibri"/>
          <w:position w:val="0"/>
          <w:sz w:val="18"/>
          <w:vertAlign w:val="baseline"/>
        </w:rPr>
        <w:t xml:space="preserve">See, for example, </w:t>
      </w:r>
      <w:hyperlink r:id="rId1" w:history="1">
        <w:r w:rsidRPr="001E76C0">
          <w:rPr>
            <w:rStyle w:val="Hyperlink"/>
            <w:rFonts w:ascii="Calibri" w:eastAsia="Microsoft JhengHei" w:hAnsi="Calibri"/>
          </w:rPr>
          <w:t>http://www.tidallagoonpower.com/wp-content/uploads/2016/08/The-Economic-Case-for-a-Tidal-Lagoon-Industry-in-the-UK_final.pdf</w:t>
        </w:r>
      </w:hyperlink>
      <w:r>
        <w:rPr>
          <w:rFonts w:ascii="Calibri" w:eastAsia="Microsoft JhengHei" w:hAnsi="Calibri"/>
        </w:rPr>
        <w:t xml:space="preserve"> </w:t>
      </w:r>
    </w:p>
  </w:footnote>
  <w:footnote w:id="2">
    <w:p w14:paraId="0C204B54" w14:textId="77777777" w:rsidR="001E63EE" w:rsidRPr="00FB3E52" w:rsidRDefault="001E63EE" w:rsidP="001C73C3">
      <w:pPr>
        <w:pStyle w:val="FootnoteText"/>
      </w:pPr>
      <w:r w:rsidRPr="00FB3E52">
        <w:rPr>
          <w:rStyle w:val="FootnoteReference"/>
          <w:rFonts w:ascii="Calibri" w:eastAsia="Microsoft JhengHei" w:hAnsi="Calibri"/>
          <w:position w:val="0"/>
          <w:sz w:val="22"/>
        </w:rPr>
        <w:footnoteRef/>
      </w:r>
      <w:r w:rsidRPr="00FB3E52">
        <w:rPr>
          <w:rStyle w:val="FootnoteReference"/>
          <w:rFonts w:ascii="Calibri" w:eastAsia="Microsoft JhengHei" w:hAnsi="Calibri"/>
          <w:position w:val="0"/>
          <w:sz w:val="22"/>
        </w:rPr>
        <w:t xml:space="preserve"> </w:t>
      </w:r>
      <w:r w:rsidRPr="00FB3E52">
        <w:rPr>
          <w:rStyle w:val="FootnoteReference"/>
          <w:rFonts w:ascii="Calibri" w:eastAsia="Microsoft JhengHei" w:hAnsi="Calibri"/>
          <w:position w:val="0"/>
          <w:sz w:val="18"/>
          <w:vertAlign w:val="baseline"/>
        </w:rPr>
        <w:t>GVA</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or gross value added</w:t>
      </w:r>
      <w:r>
        <w:rPr>
          <w:rFonts w:ascii="Calibri" w:eastAsia="Microsoft JhengHei" w:hAnsi="Calibri"/>
        </w:rPr>
        <w:t>,</w:t>
      </w:r>
      <w:r w:rsidRPr="00FB3E52">
        <w:rPr>
          <w:rStyle w:val="FootnoteReference"/>
          <w:rFonts w:ascii="Calibri" w:eastAsia="Microsoft JhengHei" w:hAnsi="Calibri"/>
          <w:position w:val="0"/>
          <w:sz w:val="18"/>
          <w:vertAlign w:val="baseline"/>
        </w:rPr>
        <w:t xml:space="preserve"> is a measure of the value from production in the national accounts and can be thought of as the value of industrial output less intermediate consumption.  That is, the value of what is produced less the value of the intermediate goods and services</w:t>
      </w:r>
      <w:r w:rsidRPr="00143397">
        <w:rPr>
          <w:rStyle w:val="FootnoteReference"/>
          <w:rFonts w:ascii="Calibri" w:eastAsia="Microsoft JhengHei" w:hAnsi="Calibri"/>
          <w:position w:val="0"/>
          <w:sz w:val="18"/>
          <w:vertAlign w:val="baseline"/>
        </w:rPr>
        <w:t xml:space="preserve"> used as inputs to produce it. </w:t>
      </w:r>
      <w:r w:rsidRPr="00FB3E52">
        <w:rPr>
          <w:rStyle w:val="FootnoteReference"/>
          <w:rFonts w:ascii="Calibri" w:eastAsia="Microsoft JhengHei" w:hAnsi="Calibri"/>
          <w:position w:val="0"/>
          <w:sz w:val="18"/>
          <w:vertAlign w:val="baseline"/>
        </w:rPr>
        <w:t>GVA is also commonly known as income from production and is distributed in three directions – to employees, to shareholders and to government. GVA is linked as a measurement to GDP – both being a measure of economic output. That relationship is (GVA + Taxes on products - Subsidies</w:t>
      </w:r>
      <w:r>
        <w:rPr>
          <w:rStyle w:val="FootnoteReference"/>
          <w:rFonts w:ascii="Calibri" w:eastAsia="Microsoft JhengHei" w:hAnsi="Calibri"/>
          <w:position w:val="0"/>
          <w:sz w:val="18"/>
          <w:vertAlign w:val="baseline"/>
        </w:rPr>
        <w:t xml:space="preserve"> on products = GDP). </w:t>
      </w:r>
      <w:r w:rsidRPr="00FB3E52">
        <w:rPr>
          <w:rStyle w:val="FootnoteReference"/>
          <w:rFonts w:ascii="Calibri" w:eastAsia="Microsoft JhengHei" w:hAnsi="Calibri"/>
          <w:position w:val="0"/>
          <w:sz w:val="18"/>
          <w:vertAlign w:val="baseline"/>
        </w:rPr>
        <w:t>Because taxes and subsidies on individual product categories are only available at the whole economy level (rather than at the sectoral or regional level), GVA tends to be used for measuring things like gross regional domestic product and other measures of economic output of entities that are smaller than the whole economy.</w:t>
      </w:r>
    </w:p>
  </w:footnote>
  <w:footnote w:id="3">
    <w:p w14:paraId="4DF69FFE" w14:textId="77777777" w:rsidR="001E63EE" w:rsidRDefault="001E63EE" w:rsidP="001C73C3">
      <w:pPr>
        <w:pStyle w:val="FootnoteText"/>
      </w:pPr>
      <w:r w:rsidRPr="00B36121">
        <w:rPr>
          <w:rStyle w:val="FootnoteReference"/>
          <w:rFonts w:ascii="Calibri" w:eastAsia="Microsoft JhengHei" w:hAnsi="Calibri"/>
          <w:position w:val="0"/>
          <w:sz w:val="22"/>
        </w:rPr>
        <w:footnoteRef/>
      </w:r>
      <w:r w:rsidRPr="00B36121">
        <w:rPr>
          <w:rStyle w:val="FootnoteReference"/>
          <w:rFonts w:ascii="Calibri" w:eastAsia="Microsoft JhengHei" w:hAnsi="Calibri"/>
          <w:position w:val="0"/>
          <w:sz w:val="22"/>
        </w:rPr>
        <w:t xml:space="preserve"> </w:t>
      </w:r>
      <w:r w:rsidRPr="00A60DE5">
        <w:rPr>
          <w:rStyle w:val="FootnoteReference"/>
          <w:rFonts w:ascii="Calibri" w:eastAsia="Microsoft JhengHei" w:hAnsi="Calibri"/>
          <w:position w:val="0"/>
          <w:sz w:val="18"/>
          <w:vertAlign w:val="baseline"/>
        </w:rPr>
        <w:t>Compensation of employees is the total remuneration, in cash or in kind, payable by an employer to an employee in return for employers' social contributions, mainly consisting of employers' actual social contributions (excluding apprentices), employers' imputed social contributions (excluding apprentices) and employers' social contributions for apprentices.</w:t>
      </w:r>
    </w:p>
  </w:footnote>
  <w:footnote w:id="4">
    <w:p w14:paraId="0964C23F" w14:textId="77777777" w:rsidR="001E63EE" w:rsidRPr="00D03E97" w:rsidRDefault="001E63EE" w:rsidP="001C73C3">
      <w:pPr>
        <w:pStyle w:val="FootnoteText"/>
        <w:spacing w:after="120"/>
        <w:rPr>
          <w:rFonts w:ascii="Calibri" w:eastAsia="Microsoft JhengHei" w:hAnsi="Calibri"/>
          <w:sz w:val="22"/>
        </w:rPr>
      </w:pPr>
      <w:r w:rsidRPr="00D03E97">
        <w:rPr>
          <w:rStyle w:val="FootnoteReference"/>
          <w:rFonts w:ascii="Calibri" w:eastAsia="Microsoft JhengHei" w:hAnsi="Calibri"/>
          <w:position w:val="0"/>
          <w:sz w:val="22"/>
        </w:rPr>
        <w:footnoteRef/>
      </w:r>
      <w:r w:rsidRPr="00D03E97">
        <w:rPr>
          <w:rStyle w:val="FootnoteReference"/>
          <w:rFonts w:ascii="Calibri" w:eastAsia="Microsoft JhengHei" w:hAnsi="Calibri"/>
          <w:position w:val="0"/>
          <w:sz w:val="22"/>
        </w:rPr>
        <w:t xml:space="preserve"> </w:t>
      </w:r>
      <w:r w:rsidRPr="00D03E97">
        <w:rPr>
          <w:rStyle w:val="FootnoteReference"/>
          <w:rFonts w:ascii="Calibri" w:eastAsia="Microsoft JhengHei" w:hAnsi="Calibri"/>
          <w:position w:val="0"/>
          <w:sz w:val="18"/>
          <w:vertAlign w:val="baseline"/>
        </w:rPr>
        <w:t>The United Kingdom Standard Industrial Classification</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of Economic Activities (SIC) is used to classify business</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establishments and other standard units by the type of</w:t>
      </w:r>
      <w:r w:rsidRPr="00D03E97">
        <w:rPr>
          <w:rStyle w:val="FootnoteReference"/>
          <w:position w:val="0"/>
          <w:sz w:val="18"/>
          <w:vertAlign w:val="baseline"/>
        </w:rPr>
        <w:t xml:space="preserve"> </w:t>
      </w:r>
      <w:r w:rsidRPr="00D03E97">
        <w:rPr>
          <w:rStyle w:val="FootnoteReference"/>
          <w:rFonts w:ascii="Calibri" w:eastAsia="Microsoft JhengHei" w:hAnsi="Calibri"/>
          <w:position w:val="0"/>
          <w:sz w:val="18"/>
          <w:vertAlign w:val="baseline"/>
        </w:rPr>
        <w:t>economic activity in which they are engaged.</w:t>
      </w:r>
    </w:p>
  </w:footnote>
  <w:footnote w:id="5">
    <w:p w14:paraId="24C05833" w14:textId="77777777" w:rsidR="001E63EE" w:rsidRPr="00B10C2D" w:rsidRDefault="001E63EE" w:rsidP="001C07BD">
      <w:pPr>
        <w:pStyle w:val="FootnoteText"/>
      </w:pPr>
      <w:r w:rsidRPr="00B10C2D">
        <w:rPr>
          <w:rStyle w:val="FootnoteReference"/>
          <w:vertAlign w:val="baseline"/>
        </w:rPr>
        <w:footnoteRef/>
      </w:r>
      <w:r w:rsidRPr="00B10C2D">
        <w:t xml:space="preserve"> </w:t>
      </w:r>
      <w:r w:rsidRPr="00BE0CF0">
        <w:rPr>
          <w:rStyle w:val="FootnoteReference"/>
          <w:rFonts w:ascii="Calibri" w:eastAsia="Microsoft JhengHei" w:hAnsi="Calibri"/>
          <w:position w:val="0"/>
          <w:sz w:val="18"/>
          <w:vertAlign w:val="baseline"/>
        </w:rPr>
        <w:t>The industry figures making up the broad Maritime Sector are not always additive because the reports have been customised to cater for overlap between certain industries, i.e. leisure marine and Maritime Business Services. Simply adding together the industries would therefore produce a degree of double counting. Nonetheless, the broad Maritime report has had this double counting stripped out.</w:t>
      </w:r>
    </w:p>
  </w:footnote>
  <w:footnote w:id="6">
    <w:p w14:paraId="1266740E" w14:textId="1BF8BF5C" w:rsidR="001E63EE" w:rsidRDefault="001E63EE">
      <w:pPr>
        <w:pStyle w:val="FootnoteText"/>
      </w:pPr>
      <w:r w:rsidRPr="006D583E">
        <w:rPr>
          <w:rStyle w:val="FootnoteReference"/>
          <w:rFonts w:ascii="Calibri" w:eastAsia="Microsoft JhengHei" w:hAnsi="Calibri"/>
          <w:position w:val="0"/>
          <w:sz w:val="22"/>
        </w:rPr>
        <w:footnoteRef/>
      </w:r>
      <w:r w:rsidRPr="006D583E">
        <w:rPr>
          <w:rStyle w:val="FootnoteReference"/>
          <w:rFonts w:ascii="Calibri" w:eastAsia="Microsoft JhengHei" w:hAnsi="Calibri"/>
          <w:position w:val="0"/>
          <w:sz w:val="22"/>
        </w:rPr>
        <w:t xml:space="preserve"> </w:t>
      </w:r>
      <w:r w:rsidRPr="006D583E">
        <w:t>Ports employment in Northern Ireland has been estimated using a combination of BRES and the Annual Business Survey, the latter providing the proportion of employment in Northern Ireland across the broader industrial sector categories.</w:t>
      </w:r>
    </w:p>
  </w:footnote>
  <w:footnote w:id="7">
    <w:p w14:paraId="14FEFA73" w14:textId="4A68C0F9" w:rsidR="001E63EE" w:rsidRDefault="001E63EE">
      <w:pPr>
        <w:pStyle w:val="FootnoteText"/>
      </w:pPr>
      <w:r w:rsidRPr="008215BB">
        <w:rPr>
          <w:rStyle w:val="FootnoteReference"/>
          <w:rFonts w:ascii="Calibri" w:eastAsia="Microsoft JhengHei" w:hAnsi="Calibri"/>
          <w:position w:val="0"/>
          <w:sz w:val="22"/>
        </w:rPr>
        <w:footnoteRef/>
      </w:r>
      <w:r w:rsidRPr="008215BB">
        <w:rPr>
          <w:rStyle w:val="FootnoteReference"/>
          <w:rFonts w:ascii="Calibri" w:eastAsia="Microsoft JhengHei" w:hAnsi="Calibri"/>
          <w:position w:val="0"/>
          <w:sz w:val="22"/>
        </w:rPr>
        <w:t xml:space="preserve"> </w:t>
      </w:r>
      <w:r w:rsidRPr="008215BB">
        <w:rPr>
          <w:rStyle w:val="FootnoteReference"/>
          <w:position w:val="0"/>
          <w:sz w:val="18"/>
          <w:vertAlign w:val="baseline"/>
        </w:rPr>
        <w:t>See DfT (201</w:t>
      </w:r>
      <w:r>
        <w:rPr>
          <w:rStyle w:val="FootnoteReference"/>
          <w:position w:val="0"/>
          <w:sz w:val="18"/>
          <w:vertAlign w:val="baseline"/>
        </w:rPr>
        <w:t>8</w:t>
      </w:r>
      <w:r w:rsidRPr="008215BB">
        <w:rPr>
          <w:rStyle w:val="FootnoteReference"/>
          <w:position w:val="0"/>
          <w:sz w:val="18"/>
          <w:vertAlign w:val="baseline"/>
        </w:rPr>
        <w:t>)</w:t>
      </w:r>
      <w:r>
        <w:t xml:space="preserve"> ‘Port freight statistics: 2017 final figures’ port0101.</w:t>
      </w:r>
    </w:p>
  </w:footnote>
  <w:footnote w:id="8">
    <w:p w14:paraId="0E012CF9" w14:textId="77777777" w:rsidR="001E63EE" w:rsidRDefault="001E63EE" w:rsidP="006A1032">
      <w:pPr>
        <w:pStyle w:val="FootnoteText"/>
      </w:pPr>
      <w:r w:rsidRPr="00A54F4D">
        <w:rPr>
          <w:rStyle w:val="FootnoteReference"/>
          <w:rFonts w:ascii="Calibri" w:eastAsia="Microsoft JhengHei" w:hAnsi="Calibri"/>
          <w:position w:val="0"/>
          <w:sz w:val="22"/>
        </w:rPr>
        <w:footnoteRef/>
      </w:r>
      <w:r w:rsidRPr="00A54F4D">
        <w:rPr>
          <w:rStyle w:val="FootnoteReference"/>
          <w:rFonts w:ascii="Calibri" w:eastAsia="Microsoft JhengHei" w:hAnsi="Calibri"/>
          <w:position w:val="0"/>
          <w:sz w:val="22"/>
        </w:rPr>
        <w:t xml:space="preserve"> </w:t>
      </w:r>
      <w:r w:rsidRPr="00A54F4D">
        <w:rPr>
          <w:rStyle w:val="FootnoteReference"/>
          <w:rFonts w:ascii="Calibri" w:eastAsia="Microsoft JhengHei" w:hAnsi="Calibri"/>
          <w:position w:val="0"/>
          <w:sz w:val="18"/>
          <w:vertAlign w:val="baseline"/>
        </w:rPr>
        <w:t>The Business Register and Employment Survey (BRES), produced by the ONS on an annual basis, is the official source of employee and employment estimates by detailed geography and industry</w:t>
      </w:r>
      <w:r>
        <w:rPr>
          <w:rStyle w:val="FootnoteReference"/>
          <w:rFonts w:ascii="Calibri" w:eastAsia="Microsoft JhengHei" w:hAnsi="Calibri"/>
          <w:position w:val="0"/>
          <w:sz w:val="18"/>
          <w:vertAlign w:val="baseline"/>
        </w:rPr>
        <w:t xml:space="preserve"> within Great Britain.</w:t>
      </w:r>
    </w:p>
  </w:footnote>
  <w:footnote w:id="9">
    <w:p w14:paraId="54325602" w14:textId="4FF84422" w:rsidR="001E63EE" w:rsidRDefault="001E63EE">
      <w:pPr>
        <w:pStyle w:val="FootnoteText"/>
      </w:pPr>
      <w:r w:rsidRPr="006D583E">
        <w:rPr>
          <w:rStyle w:val="FootnoteReference"/>
          <w:rFonts w:ascii="Calibri" w:eastAsia="Microsoft JhengHei" w:hAnsi="Calibri"/>
          <w:position w:val="0"/>
          <w:sz w:val="22"/>
        </w:rPr>
        <w:footnoteRef/>
      </w:r>
      <w:r w:rsidRPr="006D583E">
        <w:rPr>
          <w:rStyle w:val="FootnoteReference"/>
          <w:rFonts w:ascii="Calibri" w:eastAsia="Microsoft JhengHei" w:hAnsi="Calibri"/>
          <w:position w:val="0"/>
          <w:sz w:val="22"/>
        </w:rPr>
        <w:t xml:space="preserve"> </w:t>
      </w:r>
      <w:r w:rsidRPr="006D583E">
        <w:t>Shipping employment in Northern Ireland has been estimated using a combination of BRES and the Annual Business Survey, the latter providing the proportion of employment in Northern Ireland across the broader industrial sector categories.</w:t>
      </w:r>
    </w:p>
  </w:footnote>
  <w:footnote w:id="10">
    <w:p w14:paraId="5E271463" w14:textId="77777777" w:rsidR="001E63EE" w:rsidRDefault="001E63EE" w:rsidP="00AC5E49">
      <w:pPr>
        <w:pStyle w:val="FootnoteText"/>
      </w:pPr>
      <w:r w:rsidRPr="00773F1E">
        <w:rPr>
          <w:rStyle w:val="FootnoteReference"/>
          <w:rFonts w:ascii="Calibri" w:eastAsia="Microsoft JhengHei" w:hAnsi="Calibri"/>
          <w:position w:val="0"/>
          <w:sz w:val="22"/>
        </w:rPr>
        <w:footnoteRef/>
      </w:r>
      <w:r w:rsidRPr="00773F1E">
        <w:rPr>
          <w:rStyle w:val="FootnoteReference"/>
          <w:rFonts w:ascii="Calibri" w:eastAsia="Microsoft JhengHei" w:hAnsi="Calibri"/>
          <w:position w:val="0"/>
          <w:sz w:val="22"/>
        </w:rPr>
        <w:t xml:space="preserve"> </w:t>
      </w:r>
      <w:r w:rsidRPr="00773F1E">
        <w:rPr>
          <w:rStyle w:val="FootnoteReference"/>
          <w:rFonts w:ascii="Calibri" w:eastAsia="Microsoft JhengHei" w:hAnsi="Calibri"/>
          <w:position w:val="0"/>
          <w:sz w:val="18"/>
          <w:vertAlign w:val="baseline"/>
        </w:rPr>
        <w:t>BIS, 2015. “The size and performance of the UK Carbon Economy, Report for 2010 to 2013.</w:t>
      </w:r>
      <w:r>
        <w:rPr>
          <w:rFonts w:ascii="Calibri" w:eastAsia="Microsoft JhengHei" w:hAnsi="Calibri"/>
        </w:rPr>
        <w:t>”</w:t>
      </w:r>
    </w:p>
  </w:footnote>
  <w:footnote w:id="11">
    <w:p w14:paraId="61E658AE" w14:textId="77777777" w:rsidR="001E63EE" w:rsidRDefault="001E63EE" w:rsidP="00BD2AE3">
      <w:pPr>
        <w:pStyle w:val="FootnoteText"/>
      </w:pPr>
      <w:r w:rsidRPr="004A319C">
        <w:rPr>
          <w:rStyle w:val="FootnoteReference"/>
          <w:rFonts w:ascii="Calibri" w:eastAsia="Microsoft JhengHei" w:hAnsi="Calibri"/>
          <w:position w:val="0"/>
          <w:sz w:val="22"/>
        </w:rPr>
        <w:footnoteRef/>
      </w:r>
      <w:r w:rsidRPr="004A319C">
        <w:rPr>
          <w:rStyle w:val="FootnoteReference"/>
          <w:rFonts w:ascii="Calibri" w:eastAsia="Microsoft JhengHei" w:hAnsi="Calibri"/>
          <w:position w:val="0"/>
          <w:sz w:val="22"/>
        </w:rPr>
        <w:t xml:space="preserve"> </w:t>
      </w:r>
      <w:r w:rsidRPr="004A319C">
        <w:rPr>
          <w:rFonts w:ascii="Calibri" w:eastAsia="Microsoft JhengHei" w:hAnsi="Calibri"/>
        </w:rPr>
        <w:t>The allocation of MBS activity based on port activity comes from the assumption that maritime related services primarily operate within or close to port</w:t>
      </w:r>
      <w:r>
        <w:rPr>
          <w:rFonts w:ascii="Calibri" w:eastAsia="Microsoft JhengHei" w:hAnsi="Calibri"/>
        </w:rPr>
        <w:t xml:space="preserve">s. Data on this type of activity is not generally available to produce a rigorous disaggregation and thus we rely on this assumption which may over and understate certain regions, but should reflect major maritime hubs. </w:t>
      </w:r>
    </w:p>
  </w:footnote>
  <w:footnote w:id="12">
    <w:p w14:paraId="44CEDEAD" w14:textId="77777777" w:rsidR="001E63EE" w:rsidRPr="00F73315" w:rsidRDefault="001E63EE" w:rsidP="00AC5E49">
      <w:pPr>
        <w:spacing w:after="0"/>
        <w:rPr>
          <w:rFonts w:ascii="Calibri" w:eastAsia="Microsoft JhengHei" w:hAnsi="Calibri"/>
          <w:sz w:val="18"/>
        </w:rPr>
      </w:pPr>
      <w:r w:rsidRPr="00F73315">
        <w:rPr>
          <w:rStyle w:val="FootnoteReference"/>
          <w:rFonts w:ascii="Calibri" w:eastAsia="Microsoft JhengHei" w:hAnsi="Calibri"/>
          <w:position w:val="0"/>
          <w:sz w:val="22"/>
        </w:rPr>
        <w:footnoteRef/>
      </w:r>
      <w:r w:rsidRPr="00F73315">
        <w:rPr>
          <w:rStyle w:val="FootnoteReference"/>
          <w:rFonts w:ascii="Calibri" w:eastAsia="Microsoft JhengHei" w:hAnsi="Calibri"/>
          <w:position w:val="0"/>
          <w:sz w:val="22"/>
        </w:rPr>
        <w:t xml:space="preserve"> </w:t>
      </w:r>
      <w:r w:rsidRPr="00F73315">
        <w:rPr>
          <w:rFonts w:ascii="Calibri" w:eastAsia="Microsoft JhengHei" w:hAnsi="Calibri"/>
          <w:sz w:val="18"/>
        </w:rPr>
        <w:t>ONS, 2017. Subregional Productivity: Labour Productivity (GVA per hour worked and GVA per filled job) indices by UK NUTS2, NUTS3 subregions and City regions</w:t>
      </w:r>
      <w:r>
        <w:rPr>
          <w:rFonts w:ascii="Calibri" w:eastAsia="Microsoft JhengHei" w:hAnsi="Calibri"/>
          <w:sz w:val="18"/>
        </w:rPr>
        <w:t>.</w:t>
      </w:r>
    </w:p>
  </w:footnote>
  <w:footnote w:id="13">
    <w:p w14:paraId="4F417A9F" w14:textId="77777777" w:rsidR="001E63EE" w:rsidRDefault="001E63EE" w:rsidP="00AC5E49">
      <w:pPr>
        <w:pStyle w:val="FootnoteText"/>
      </w:pPr>
      <w:r w:rsidRPr="00630B41">
        <w:rPr>
          <w:rStyle w:val="FootnoteReference"/>
          <w:rFonts w:ascii="Calibri" w:eastAsia="Microsoft JhengHei" w:hAnsi="Calibri"/>
          <w:position w:val="0"/>
          <w:sz w:val="22"/>
        </w:rPr>
        <w:footnoteRef/>
      </w:r>
      <w:r w:rsidRPr="00630B41">
        <w:rPr>
          <w:rStyle w:val="FootnoteReference"/>
          <w:rFonts w:ascii="Calibri" w:eastAsia="Microsoft JhengHei" w:hAnsi="Calibri"/>
          <w:position w:val="0"/>
          <w:sz w:val="22"/>
        </w:rPr>
        <w:t xml:space="preserve"> </w:t>
      </w:r>
      <w:r w:rsidRPr="00630B41">
        <w:rPr>
          <w:rStyle w:val="FootnoteReference"/>
          <w:rFonts w:ascii="Calibri" w:eastAsia="Microsoft JhengHei" w:hAnsi="Calibri"/>
          <w:position w:val="0"/>
          <w:sz w:val="18"/>
          <w:vertAlign w:val="baseline"/>
        </w:rPr>
        <w:t>Ibi</w:t>
      </w:r>
      <w:r>
        <w:rPr>
          <w:rFonts w:ascii="Calibri" w:eastAsia="Microsoft JhengHei" w:hAnsi="Calibri"/>
        </w:rPr>
        <w:t>d.</w:t>
      </w:r>
    </w:p>
  </w:footnote>
  <w:footnote w:id="14">
    <w:p w14:paraId="70C7B34B" w14:textId="7AC6DE3C" w:rsidR="001E63EE" w:rsidRDefault="001E63EE">
      <w:pPr>
        <w:pStyle w:val="FootnoteText"/>
      </w:pPr>
      <w:r w:rsidRPr="008D65D3">
        <w:rPr>
          <w:rStyle w:val="FootnoteReference"/>
          <w:sz w:val="22"/>
        </w:rPr>
        <w:footnoteRef/>
      </w:r>
      <w:r w:rsidRPr="008D65D3">
        <w:rPr>
          <w:rStyle w:val="FootnoteReference"/>
          <w:rFonts w:ascii="Calibri" w:eastAsia="Microsoft JhengHei" w:hAnsi="Calibri"/>
          <w:position w:val="0"/>
          <w:sz w:val="18"/>
          <w:vertAlign w:val="baseline"/>
        </w:rPr>
        <w:t>Tonnage</w:t>
      </w:r>
      <w:r>
        <w:t xml:space="preserve"> Tax revenue has not been apportioned regionally, as it makes up such a minor percentage of total Maritime Sector tax revenue (0.058% in 2017).</w:t>
      </w:r>
    </w:p>
  </w:footnote>
  <w:footnote w:id="15">
    <w:p w14:paraId="6F0A6CEA" w14:textId="0683B741" w:rsidR="001E63EE" w:rsidRPr="000C451B" w:rsidRDefault="001E63EE" w:rsidP="00317EA9">
      <w:pPr>
        <w:pStyle w:val="FootnoteText"/>
        <w:spacing w:after="120"/>
      </w:pPr>
      <w:r w:rsidRPr="00AE6722">
        <w:rPr>
          <w:rStyle w:val="FootnoteReference"/>
          <w:rFonts w:ascii="Calibri" w:eastAsia="Microsoft JhengHei" w:hAnsi="Calibri"/>
          <w:position w:val="0"/>
          <w:sz w:val="22"/>
        </w:rPr>
        <w:footnoteRef/>
      </w:r>
      <w:r w:rsidRPr="00AE6722">
        <w:rPr>
          <w:rStyle w:val="FootnoteReference"/>
          <w:rFonts w:ascii="Calibri" w:eastAsia="Microsoft JhengHei" w:hAnsi="Calibri"/>
          <w:position w:val="0"/>
          <w:sz w:val="22"/>
        </w:rPr>
        <w:t xml:space="preserve"> </w:t>
      </w:r>
      <w:r w:rsidRPr="00AF216F">
        <w:rPr>
          <w:rStyle w:val="FootnoteReference"/>
          <w:rFonts w:ascii="Calibri" w:eastAsia="Microsoft JhengHei" w:hAnsi="Calibri"/>
          <w:position w:val="0"/>
          <w:sz w:val="18"/>
          <w:vertAlign w:val="baseline"/>
        </w:rPr>
        <w:t>The Annual Survey of Hours and Earnings (ASHE) provides data on the levels, distribution and make-up of earnings and hours worked for UK employees by sex and full-time or part-time status in all industries and occupations.</w:t>
      </w:r>
    </w:p>
  </w:footnote>
  <w:footnote w:id="16">
    <w:p w14:paraId="22171E0F" w14:textId="77777777" w:rsidR="001E63EE" w:rsidRPr="00090A31" w:rsidRDefault="001E63EE" w:rsidP="000032D9">
      <w:pPr>
        <w:pStyle w:val="FootnoteText"/>
      </w:pPr>
      <w:r w:rsidRPr="00E524E7">
        <w:rPr>
          <w:rStyle w:val="FootnoteReference"/>
          <w:szCs w:val="18"/>
        </w:rPr>
        <w:footnoteRef/>
      </w:r>
      <w:r>
        <w:rPr>
          <w:szCs w:val="18"/>
        </w:rPr>
        <w:t xml:space="preserve"> </w:t>
      </w:r>
      <w:r>
        <w:t>United Nations Conference on Trade and Development. (2018).</w:t>
      </w:r>
      <w:r w:rsidRPr="00090A31">
        <w:t xml:space="preserve"> </w:t>
      </w:r>
      <w:hyperlink r:id="rId2" w:history="1">
        <w:r w:rsidRPr="00090A31">
          <w:rPr>
            <w:rStyle w:val="Hyperlink1"/>
          </w:rPr>
          <w:t>'Review of Marine Transport 2018'.</w:t>
        </w:r>
      </w:hyperlink>
      <w:r w:rsidRPr="00090A31">
        <w:rPr>
          <w:szCs w:val="18"/>
        </w:rPr>
        <w:t xml:space="preserve"> </w:t>
      </w:r>
    </w:p>
  </w:footnote>
  <w:footnote w:id="17">
    <w:p w14:paraId="6BE8FBD7" w14:textId="77777777" w:rsidR="001E63EE" w:rsidRPr="00090A31" w:rsidRDefault="001E63EE" w:rsidP="000032D9">
      <w:pPr>
        <w:pStyle w:val="FootnoteText"/>
        <w:rPr>
          <w:szCs w:val="18"/>
        </w:rPr>
      </w:pPr>
      <w:r w:rsidRPr="00E524E7">
        <w:rPr>
          <w:rStyle w:val="FootnoteReference"/>
          <w:szCs w:val="18"/>
        </w:rPr>
        <w:footnoteRef/>
      </w:r>
      <w:r w:rsidRPr="00E524E7">
        <w:rPr>
          <w:szCs w:val="18"/>
        </w:rPr>
        <w:t xml:space="preserve"> </w:t>
      </w:r>
      <w:r>
        <w:rPr>
          <w:szCs w:val="18"/>
        </w:rPr>
        <w:t xml:space="preserve">DNV GL (2018). </w:t>
      </w:r>
      <w:hyperlink r:id="rId3" w:history="1">
        <w:r>
          <w:rPr>
            <w:rStyle w:val="Hyperlink1"/>
            <w:szCs w:val="18"/>
          </w:rPr>
          <w:t>'Energy Transition Outlook'.</w:t>
        </w:r>
      </w:hyperlink>
    </w:p>
  </w:footnote>
  <w:footnote w:id="18">
    <w:p w14:paraId="64125180" w14:textId="77777777" w:rsidR="001E63EE" w:rsidRPr="00090A31" w:rsidRDefault="001E63EE" w:rsidP="000032D9">
      <w:pPr>
        <w:pStyle w:val="FootnoteText"/>
        <w:rPr>
          <w:szCs w:val="18"/>
        </w:rPr>
      </w:pPr>
      <w:r w:rsidRPr="00E524E7">
        <w:rPr>
          <w:rStyle w:val="FootnoteReference"/>
          <w:szCs w:val="18"/>
        </w:rPr>
        <w:footnoteRef/>
      </w:r>
      <w:r>
        <w:rPr>
          <w:szCs w:val="18"/>
        </w:rPr>
        <w:t xml:space="preserve"> OECD. (2018). </w:t>
      </w:r>
      <w:hyperlink r:id="rId4" w:history="1">
        <w:r>
          <w:rPr>
            <w:rStyle w:val="Hyperlink1"/>
          </w:rPr>
          <w:t>'Growth prospects, challenges and uncertainties for selected ocean industries'.</w:t>
        </w:r>
      </w:hyperlink>
    </w:p>
  </w:footnote>
  <w:footnote w:id="19">
    <w:p w14:paraId="355E1F9F" w14:textId="77777777" w:rsidR="001E63EE" w:rsidRDefault="001E63EE" w:rsidP="00C96798">
      <w:pPr>
        <w:pStyle w:val="FootnoteText"/>
      </w:pPr>
      <w:r>
        <w:rPr>
          <w:rStyle w:val="FootnoteReference"/>
        </w:rPr>
        <w:footnoteRef/>
      </w:r>
      <w:r>
        <w:t xml:space="preserve"> The Glamorganshire Canal, opened to Cardiff in 1794 and the link to the sea in 1798.</w:t>
      </w:r>
    </w:p>
  </w:footnote>
  <w:footnote w:id="20">
    <w:p w14:paraId="76EFF432" w14:textId="77777777" w:rsidR="001E63EE" w:rsidRDefault="001E63EE" w:rsidP="00C96798">
      <w:pPr>
        <w:pStyle w:val="FootnoteText"/>
      </w:pPr>
      <w:r>
        <w:rPr>
          <w:rStyle w:val="FootnoteReference"/>
        </w:rPr>
        <w:footnoteRef/>
      </w:r>
      <w:r>
        <w:t xml:space="preserve"> The Taff Vale Railway, opened in 1840.</w:t>
      </w:r>
    </w:p>
  </w:footnote>
  <w:footnote w:id="21">
    <w:p w14:paraId="6E780F68" w14:textId="77777777" w:rsidR="001E63EE" w:rsidRDefault="001E63EE" w:rsidP="00C96798">
      <w:pPr>
        <w:pStyle w:val="FootnoteText"/>
      </w:pPr>
      <w:r>
        <w:rPr>
          <w:rStyle w:val="FootnoteReference"/>
        </w:rPr>
        <w:footnoteRef/>
      </w:r>
      <w:r>
        <w:t xml:space="preserve"> The Bute Dock – West (1839), Bute Dock – East (1855).</w:t>
      </w:r>
    </w:p>
  </w:footnote>
  <w:footnote w:id="22">
    <w:p w14:paraId="0EF402B1" w14:textId="77777777" w:rsidR="001E63EE" w:rsidRDefault="001E63EE" w:rsidP="00C96798">
      <w:pPr>
        <w:pStyle w:val="FootnoteText"/>
      </w:pPr>
      <w:r>
        <w:rPr>
          <w:rStyle w:val="FootnoteReference"/>
        </w:rPr>
        <w:footnoteRef/>
      </w:r>
      <w:r>
        <w:t xml:space="preserve"> Roath Dock (1887), Queen Alexandra Dock (1907).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E69C52" w14:textId="77777777" w:rsidR="001E63EE" w:rsidRDefault="001E63EE">
    <w:pPr>
      <w:pStyle w:val="Header"/>
    </w:pPr>
    <w:r>
      <w:tab/>
    </w:r>
    <w:r>
      <w:fldChar w:fldCharType="begin"/>
    </w:r>
    <w:r>
      <w:instrText xml:space="preserve"> PAGE  \* Arabic  \* MERGEFORMAT </w:instrText>
    </w:r>
    <w:r>
      <w:fldChar w:fldCharType="separate"/>
    </w:r>
    <w:r w:rsidR="00B721D7">
      <w:rPr>
        <w:noProof/>
      </w:rPr>
      <w:t>13</w:t>
    </w:r>
    <w: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53432B" w14:textId="77777777" w:rsidR="001E63EE" w:rsidRDefault="001E63EE">
    <w:pPr>
      <w:pStyle w:val="Header"/>
    </w:pPr>
    <w:r>
      <w:rPr>
        <w:noProof/>
        <w:lang w:eastAsia="en-GB"/>
      </w:rPr>
      <w:drawing>
        <wp:anchor distT="0" distB="0" distL="114300" distR="114300" simplePos="0" relativeHeight="251665408" behindDoc="1" locked="1" layoutInCell="1" allowOverlap="1" wp14:anchorId="791EA76C" wp14:editId="2809CA1B">
          <wp:simplePos x="0" y="0"/>
          <wp:positionH relativeFrom="page">
            <wp:posOffset>0</wp:posOffset>
          </wp:positionH>
          <wp:positionV relativeFrom="page">
            <wp:posOffset>0</wp:posOffset>
          </wp:positionV>
          <wp:extent cx="7563600" cy="89604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 template_Operandi cov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3600" cy="89604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F19EF4C6"/>
    <w:lvl w:ilvl="0">
      <w:start w:val="1"/>
      <w:numFmt w:val="bullet"/>
      <w:pStyle w:val="ListBullet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87A19D8"/>
    <w:lvl w:ilvl="0">
      <w:start w:val="1"/>
      <w:numFmt w:val="bullet"/>
      <w:pStyle w:val="ListBullet2"/>
      <w:lvlText w:val="–"/>
      <w:lvlJc w:val="left"/>
      <w:pPr>
        <w:ind w:left="587" w:hanging="360"/>
      </w:pPr>
      <w:rPr>
        <w:rFonts w:ascii="Gotham Light" w:hAnsi="Gotham Light" w:cs="Symbol" w:hint="default"/>
        <w:color w:val="008C9B" w:themeColor="accent1"/>
      </w:rPr>
    </w:lvl>
  </w:abstractNum>
  <w:abstractNum w:abstractNumId="2" w15:restartNumberingAfterBreak="0">
    <w:nsid w:val="FFFFFF88"/>
    <w:multiLevelType w:val="singleLevel"/>
    <w:tmpl w:val="0812F64C"/>
    <w:lvl w:ilvl="0">
      <w:start w:val="1"/>
      <w:numFmt w:val="decimal"/>
      <w:pStyle w:val="ListNumber"/>
      <w:lvlText w:val="%1"/>
      <w:lvlJc w:val="left"/>
      <w:pPr>
        <w:ind w:left="360" w:hanging="360"/>
      </w:pPr>
      <w:rPr>
        <w:rFonts w:hint="default"/>
        <w:b/>
        <w:i w:val="0"/>
        <w:color w:val="008C9B" w:themeColor="text2"/>
      </w:rPr>
    </w:lvl>
  </w:abstractNum>
  <w:abstractNum w:abstractNumId="3" w15:restartNumberingAfterBreak="0">
    <w:nsid w:val="FFFFFF89"/>
    <w:multiLevelType w:val="singleLevel"/>
    <w:tmpl w:val="03042192"/>
    <w:lvl w:ilvl="0">
      <w:start w:val="1"/>
      <w:numFmt w:val="bullet"/>
      <w:pStyle w:val="ListBullet"/>
      <w:lvlText w:val="·"/>
      <w:lvlJc w:val="left"/>
      <w:pPr>
        <w:ind w:left="360" w:hanging="360"/>
      </w:pPr>
      <w:rPr>
        <w:rFonts w:ascii="Symbol" w:hAnsi="Symbol" w:cs="Symbol" w:hint="default"/>
        <w:color w:val="008C9B" w:themeColor="accent1"/>
      </w:rPr>
    </w:lvl>
  </w:abstractNum>
  <w:abstractNum w:abstractNumId="4" w15:restartNumberingAfterBreak="0">
    <w:nsid w:val="00E217C1"/>
    <w:multiLevelType w:val="hybridMultilevel"/>
    <w:tmpl w:val="2A6CB7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1072960"/>
    <w:multiLevelType w:val="hybridMultilevel"/>
    <w:tmpl w:val="286E5A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74D38FB"/>
    <w:multiLevelType w:val="hybridMultilevel"/>
    <w:tmpl w:val="76BC8184"/>
    <w:lvl w:ilvl="0" w:tplc="3DEA876A">
      <w:start w:val="1"/>
      <w:numFmt w:val="lowerLetter"/>
      <w:pStyle w:val="ListNumber2"/>
      <w:lvlText w:val="%1"/>
      <w:lvlJc w:val="left"/>
      <w:pPr>
        <w:ind w:left="947" w:hanging="360"/>
      </w:pPr>
      <w:rPr>
        <w:rFonts w:hint="default"/>
        <w:bCs/>
        <w:iCs w:val="0"/>
        <w:color w:val="008C9B" w:themeColor="accent1"/>
      </w:rPr>
    </w:lvl>
    <w:lvl w:ilvl="1" w:tplc="08090019" w:tentative="1">
      <w:start w:val="1"/>
      <w:numFmt w:val="lowerLetter"/>
      <w:lvlText w:val="%2."/>
      <w:lvlJc w:val="left"/>
      <w:pPr>
        <w:ind w:left="1667" w:hanging="360"/>
      </w:pPr>
    </w:lvl>
    <w:lvl w:ilvl="2" w:tplc="0809001B" w:tentative="1">
      <w:start w:val="1"/>
      <w:numFmt w:val="lowerRoman"/>
      <w:lvlText w:val="%3."/>
      <w:lvlJc w:val="right"/>
      <w:pPr>
        <w:ind w:left="2387" w:hanging="180"/>
      </w:pPr>
    </w:lvl>
    <w:lvl w:ilvl="3" w:tplc="0809000F" w:tentative="1">
      <w:start w:val="1"/>
      <w:numFmt w:val="decimal"/>
      <w:lvlText w:val="%4."/>
      <w:lvlJc w:val="left"/>
      <w:pPr>
        <w:ind w:left="3107" w:hanging="360"/>
      </w:pPr>
    </w:lvl>
    <w:lvl w:ilvl="4" w:tplc="08090019" w:tentative="1">
      <w:start w:val="1"/>
      <w:numFmt w:val="lowerLetter"/>
      <w:lvlText w:val="%5."/>
      <w:lvlJc w:val="left"/>
      <w:pPr>
        <w:ind w:left="3827" w:hanging="360"/>
      </w:pPr>
    </w:lvl>
    <w:lvl w:ilvl="5" w:tplc="0809001B" w:tentative="1">
      <w:start w:val="1"/>
      <w:numFmt w:val="lowerRoman"/>
      <w:lvlText w:val="%6."/>
      <w:lvlJc w:val="right"/>
      <w:pPr>
        <w:ind w:left="4547" w:hanging="180"/>
      </w:pPr>
    </w:lvl>
    <w:lvl w:ilvl="6" w:tplc="0809000F" w:tentative="1">
      <w:start w:val="1"/>
      <w:numFmt w:val="decimal"/>
      <w:lvlText w:val="%7."/>
      <w:lvlJc w:val="left"/>
      <w:pPr>
        <w:ind w:left="5267" w:hanging="360"/>
      </w:pPr>
    </w:lvl>
    <w:lvl w:ilvl="7" w:tplc="08090019" w:tentative="1">
      <w:start w:val="1"/>
      <w:numFmt w:val="lowerLetter"/>
      <w:lvlText w:val="%8."/>
      <w:lvlJc w:val="left"/>
      <w:pPr>
        <w:ind w:left="5987" w:hanging="360"/>
      </w:pPr>
    </w:lvl>
    <w:lvl w:ilvl="8" w:tplc="0809001B" w:tentative="1">
      <w:start w:val="1"/>
      <w:numFmt w:val="lowerRoman"/>
      <w:lvlText w:val="%9."/>
      <w:lvlJc w:val="right"/>
      <w:pPr>
        <w:ind w:left="6707" w:hanging="180"/>
      </w:pPr>
    </w:lvl>
  </w:abstractNum>
  <w:abstractNum w:abstractNumId="7" w15:restartNumberingAfterBreak="0">
    <w:nsid w:val="0BBA079A"/>
    <w:multiLevelType w:val="hybridMultilevel"/>
    <w:tmpl w:val="F30488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C411E0C"/>
    <w:multiLevelType w:val="hybridMultilevel"/>
    <w:tmpl w:val="F73673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1F451D4"/>
    <w:multiLevelType w:val="hybridMultilevel"/>
    <w:tmpl w:val="ED7E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2B47D16"/>
    <w:multiLevelType w:val="hybridMultilevel"/>
    <w:tmpl w:val="F990C3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05195A"/>
    <w:multiLevelType w:val="hybridMultilevel"/>
    <w:tmpl w:val="B36E12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7FD4CAE"/>
    <w:multiLevelType w:val="hybridMultilevel"/>
    <w:tmpl w:val="572CCD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E454A9A"/>
    <w:multiLevelType w:val="hybridMultilevel"/>
    <w:tmpl w:val="7A5A2E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F7E2A72"/>
    <w:multiLevelType w:val="hybridMultilevel"/>
    <w:tmpl w:val="4900E7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1AE1B05"/>
    <w:multiLevelType w:val="hybridMultilevel"/>
    <w:tmpl w:val="AF20CB94"/>
    <w:lvl w:ilvl="0" w:tplc="0809000F">
      <w:start w:val="1"/>
      <w:numFmt w:val="decimal"/>
      <w:lvlText w:val="%1."/>
      <w:lvlJc w:val="left"/>
      <w:pPr>
        <w:ind w:left="1077" w:hanging="360"/>
      </w:p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6" w15:restartNumberingAfterBreak="0">
    <w:nsid w:val="34A26F57"/>
    <w:multiLevelType w:val="hybridMultilevel"/>
    <w:tmpl w:val="1F86A46E"/>
    <w:lvl w:ilvl="0" w:tplc="08090001">
      <w:start w:val="1"/>
      <w:numFmt w:val="bullet"/>
      <w:lvlText w:val=""/>
      <w:lvlJc w:val="left"/>
      <w:pPr>
        <w:ind w:left="720" w:hanging="360"/>
      </w:pPr>
      <w:rPr>
        <w:rFonts w:ascii="Symbol" w:hAnsi="Symbol" w:hint="default"/>
        <w:color w:val="008C9B"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ECE1EFB"/>
    <w:multiLevelType w:val="hybridMultilevel"/>
    <w:tmpl w:val="71D6BD8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313A1A"/>
    <w:multiLevelType w:val="multilevel"/>
    <w:tmpl w:val="B596C11A"/>
    <w:numStyleLink w:val="Cebrlist"/>
  </w:abstractNum>
  <w:abstractNum w:abstractNumId="19" w15:restartNumberingAfterBreak="0">
    <w:nsid w:val="500C1B35"/>
    <w:multiLevelType w:val="hybridMultilevel"/>
    <w:tmpl w:val="31AAADBC"/>
    <w:lvl w:ilvl="0" w:tplc="22DEFE8C">
      <w:start w:val="1"/>
      <w:numFmt w:val="bullet"/>
      <w:lvlText w:val=""/>
      <w:lvlJc w:val="left"/>
      <w:pPr>
        <w:ind w:left="360" w:hanging="360"/>
      </w:pPr>
      <w:rPr>
        <w:rFonts w:ascii="Symbol" w:hAnsi="Symbol" w:hint="default"/>
      </w:rPr>
    </w:lvl>
    <w:lvl w:ilvl="1" w:tplc="08248BC2" w:tentative="1">
      <w:start w:val="1"/>
      <w:numFmt w:val="bullet"/>
      <w:lvlText w:val="o"/>
      <w:lvlJc w:val="left"/>
      <w:pPr>
        <w:ind w:left="1080" w:hanging="360"/>
      </w:pPr>
      <w:rPr>
        <w:rFonts w:ascii="Courier New" w:hAnsi="Courier New" w:cs="Courier New" w:hint="default"/>
      </w:rPr>
    </w:lvl>
    <w:lvl w:ilvl="2" w:tplc="2768355A" w:tentative="1">
      <w:start w:val="1"/>
      <w:numFmt w:val="bullet"/>
      <w:lvlText w:val=""/>
      <w:lvlJc w:val="left"/>
      <w:pPr>
        <w:ind w:left="1800" w:hanging="360"/>
      </w:pPr>
      <w:rPr>
        <w:rFonts w:ascii="Wingdings" w:hAnsi="Wingdings" w:hint="default"/>
      </w:rPr>
    </w:lvl>
    <w:lvl w:ilvl="3" w:tplc="08D2AFCE" w:tentative="1">
      <w:start w:val="1"/>
      <w:numFmt w:val="bullet"/>
      <w:lvlText w:val=""/>
      <w:lvlJc w:val="left"/>
      <w:pPr>
        <w:ind w:left="2520" w:hanging="360"/>
      </w:pPr>
      <w:rPr>
        <w:rFonts w:ascii="Symbol" w:hAnsi="Symbol" w:hint="default"/>
      </w:rPr>
    </w:lvl>
    <w:lvl w:ilvl="4" w:tplc="08CE3816" w:tentative="1">
      <w:start w:val="1"/>
      <w:numFmt w:val="bullet"/>
      <w:lvlText w:val="o"/>
      <w:lvlJc w:val="left"/>
      <w:pPr>
        <w:ind w:left="3240" w:hanging="360"/>
      </w:pPr>
      <w:rPr>
        <w:rFonts w:ascii="Courier New" w:hAnsi="Courier New" w:cs="Courier New" w:hint="default"/>
      </w:rPr>
    </w:lvl>
    <w:lvl w:ilvl="5" w:tplc="F0709652" w:tentative="1">
      <w:start w:val="1"/>
      <w:numFmt w:val="bullet"/>
      <w:lvlText w:val=""/>
      <w:lvlJc w:val="left"/>
      <w:pPr>
        <w:ind w:left="3960" w:hanging="360"/>
      </w:pPr>
      <w:rPr>
        <w:rFonts w:ascii="Wingdings" w:hAnsi="Wingdings" w:hint="default"/>
      </w:rPr>
    </w:lvl>
    <w:lvl w:ilvl="6" w:tplc="628E613C" w:tentative="1">
      <w:start w:val="1"/>
      <w:numFmt w:val="bullet"/>
      <w:lvlText w:val=""/>
      <w:lvlJc w:val="left"/>
      <w:pPr>
        <w:ind w:left="4680" w:hanging="360"/>
      </w:pPr>
      <w:rPr>
        <w:rFonts w:ascii="Symbol" w:hAnsi="Symbol" w:hint="default"/>
      </w:rPr>
    </w:lvl>
    <w:lvl w:ilvl="7" w:tplc="97ECAF46" w:tentative="1">
      <w:start w:val="1"/>
      <w:numFmt w:val="bullet"/>
      <w:lvlText w:val="o"/>
      <w:lvlJc w:val="left"/>
      <w:pPr>
        <w:ind w:left="5400" w:hanging="360"/>
      </w:pPr>
      <w:rPr>
        <w:rFonts w:ascii="Courier New" w:hAnsi="Courier New" w:cs="Courier New" w:hint="default"/>
      </w:rPr>
    </w:lvl>
    <w:lvl w:ilvl="8" w:tplc="BEB6E406" w:tentative="1">
      <w:start w:val="1"/>
      <w:numFmt w:val="bullet"/>
      <w:lvlText w:val=""/>
      <w:lvlJc w:val="left"/>
      <w:pPr>
        <w:ind w:left="6120" w:hanging="360"/>
      </w:pPr>
      <w:rPr>
        <w:rFonts w:ascii="Wingdings" w:hAnsi="Wingdings" w:hint="default"/>
      </w:rPr>
    </w:lvl>
  </w:abstractNum>
  <w:abstractNum w:abstractNumId="20" w15:restartNumberingAfterBreak="0">
    <w:nsid w:val="531931F2"/>
    <w:multiLevelType w:val="hybridMultilevel"/>
    <w:tmpl w:val="899212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9A01D3"/>
    <w:multiLevelType w:val="hybridMultilevel"/>
    <w:tmpl w:val="69322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76E6442"/>
    <w:multiLevelType w:val="multilevel"/>
    <w:tmpl w:val="B596C11A"/>
    <w:styleLink w:val="Cebrlist"/>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59AC706C"/>
    <w:multiLevelType w:val="hybridMultilevel"/>
    <w:tmpl w:val="72B403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CB4263B"/>
    <w:multiLevelType w:val="hybridMultilevel"/>
    <w:tmpl w:val="DB586C10"/>
    <w:lvl w:ilvl="0" w:tplc="08090001">
      <w:start w:val="1"/>
      <w:numFmt w:val="bullet"/>
      <w:lvlText w:val=""/>
      <w:lvlJc w:val="left"/>
      <w:pPr>
        <w:ind w:left="720" w:hanging="360"/>
      </w:pPr>
      <w:rPr>
        <w:rFonts w:ascii="Symbol" w:hAnsi="Symbol" w:hint="default"/>
        <w:color w:val="008C9B" w:themeColor="accent1"/>
      </w:rPr>
    </w:lvl>
    <w:lvl w:ilvl="1" w:tplc="08090003">
      <w:start w:val="1"/>
      <w:numFmt w:val="bullet"/>
      <w:lvlText w:val="o"/>
      <w:lvlJc w:val="left"/>
      <w:pPr>
        <w:ind w:left="644"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432ACC"/>
    <w:multiLevelType w:val="hybridMultilevel"/>
    <w:tmpl w:val="22F6BC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996650"/>
    <w:multiLevelType w:val="hybridMultilevel"/>
    <w:tmpl w:val="6414E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867027C"/>
    <w:multiLevelType w:val="hybridMultilevel"/>
    <w:tmpl w:val="FD449C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ED0670"/>
    <w:multiLevelType w:val="hybridMultilevel"/>
    <w:tmpl w:val="739211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C670A69"/>
    <w:multiLevelType w:val="hybridMultilevel"/>
    <w:tmpl w:val="1B6C4462"/>
    <w:lvl w:ilvl="0" w:tplc="407A13B2">
      <w:start w:val="1"/>
      <w:numFmt w:val="bullet"/>
      <w:lvlText w:val=""/>
      <w:lvlJc w:val="left"/>
      <w:pPr>
        <w:ind w:left="360" w:hanging="360"/>
      </w:pPr>
      <w:rPr>
        <w:rFonts w:ascii="Symbol" w:hAnsi="Symbol" w:hint="default"/>
      </w:rPr>
    </w:lvl>
    <w:lvl w:ilvl="1" w:tplc="E11C7990" w:tentative="1">
      <w:start w:val="1"/>
      <w:numFmt w:val="bullet"/>
      <w:lvlText w:val="o"/>
      <w:lvlJc w:val="left"/>
      <w:pPr>
        <w:ind w:left="1080" w:hanging="360"/>
      </w:pPr>
      <w:rPr>
        <w:rFonts w:ascii="Courier New" w:hAnsi="Courier New" w:cs="Courier New" w:hint="default"/>
      </w:rPr>
    </w:lvl>
    <w:lvl w:ilvl="2" w:tplc="2480A4C2" w:tentative="1">
      <w:start w:val="1"/>
      <w:numFmt w:val="bullet"/>
      <w:lvlText w:val=""/>
      <w:lvlJc w:val="left"/>
      <w:pPr>
        <w:ind w:left="1800" w:hanging="360"/>
      </w:pPr>
      <w:rPr>
        <w:rFonts w:ascii="Wingdings" w:hAnsi="Wingdings" w:hint="default"/>
      </w:rPr>
    </w:lvl>
    <w:lvl w:ilvl="3" w:tplc="4D0C3F24" w:tentative="1">
      <w:start w:val="1"/>
      <w:numFmt w:val="bullet"/>
      <w:lvlText w:val=""/>
      <w:lvlJc w:val="left"/>
      <w:pPr>
        <w:ind w:left="2520" w:hanging="360"/>
      </w:pPr>
      <w:rPr>
        <w:rFonts w:ascii="Symbol" w:hAnsi="Symbol" w:hint="default"/>
      </w:rPr>
    </w:lvl>
    <w:lvl w:ilvl="4" w:tplc="C41E650E" w:tentative="1">
      <w:start w:val="1"/>
      <w:numFmt w:val="bullet"/>
      <w:lvlText w:val="o"/>
      <w:lvlJc w:val="left"/>
      <w:pPr>
        <w:ind w:left="3240" w:hanging="360"/>
      </w:pPr>
      <w:rPr>
        <w:rFonts w:ascii="Courier New" w:hAnsi="Courier New" w:cs="Courier New" w:hint="default"/>
      </w:rPr>
    </w:lvl>
    <w:lvl w:ilvl="5" w:tplc="36D046F6" w:tentative="1">
      <w:start w:val="1"/>
      <w:numFmt w:val="bullet"/>
      <w:lvlText w:val=""/>
      <w:lvlJc w:val="left"/>
      <w:pPr>
        <w:ind w:left="3960" w:hanging="360"/>
      </w:pPr>
      <w:rPr>
        <w:rFonts w:ascii="Wingdings" w:hAnsi="Wingdings" w:hint="default"/>
      </w:rPr>
    </w:lvl>
    <w:lvl w:ilvl="6" w:tplc="AF783948" w:tentative="1">
      <w:start w:val="1"/>
      <w:numFmt w:val="bullet"/>
      <w:lvlText w:val=""/>
      <w:lvlJc w:val="left"/>
      <w:pPr>
        <w:ind w:left="4680" w:hanging="360"/>
      </w:pPr>
      <w:rPr>
        <w:rFonts w:ascii="Symbol" w:hAnsi="Symbol" w:hint="default"/>
      </w:rPr>
    </w:lvl>
    <w:lvl w:ilvl="7" w:tplc="F4E8006A" w:tentative="1">
      <w:start w:val="1"/>
      <w:numFmt w:val="bullet"/>
      <w:lvlText w:val="o"/>
      <w:lvlJc w:val="left"/>
      <w:pPr>
        <w:ind w:left="5400" w:hanging="360"/>
      </w:pPr>
      <w:rPr>
        <w:rFonts w:ascii="Courier New" w:hAnsi="Courier New" w:cs="Courier New" w:hint="default"/>
      </w:rPr>
    </w:lvl>
    <w:lvl w:ilvl="8" w:tplc="634E2B8E" w:tentative="1">
      <w:start w:val="1"/>
      <w:numFmt w:val="bullet"/>
      <w:lvlText w:val=""/>
      <w:lvlJc w:val="left"/>
      <w:pPr>
        <w:ind w:left="6120" w:hanging="360"/>
      </w:pPr>
      <w:rPr>
        <w:rFonts w:ascii="Wingdings" w:hAnsi="Wingdings" w:hint="default"/>
      </w:rPr>
    </w:lvl>
  </w:abstractNum>
  <w:abstractNum w:abstractNumId="30" w15:restartNumberingAfterBreak="0">
    <w:nsid w:val="6EBD2974"/>
    <w:multiLevelType w:val="hybridMultilevel"/>
    <w:tmpl w:val="FC169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B180F2C"/>
    <w:multiLevelType w:val="hybridMultilevel"/>
    <w:tmpl w:val="9E78E41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3"/>
  </w:num>
  <w:num w:numId="3">
    <w:abstractNumId w:val="1"/>
  </w:num>
  <w:num w:numId="4">
    <w:abstractNumId w:val="22"/>
  </w:num>
  <w:num w:numId="5">
    <w:abstractNumId w:val="18"/>
    <w:lvlOverride w:ilvl="0">
      <w:lvl w:ilvl="0">
        <w:start w:val="1"/>
        <w:numFmt w:val="decimal"/>
        <w:pStyle w:val="Heading1"/>
        <w:lvlText w:val="%1"/>
        <w:lvlJc w:val="left"/>
        <w:pPr>
          <w:ind w:left="0" w:firstLine="0"/>
        </w:pPr>
        <w:rPr>
          <w:rFonts w:asciiTheme="minorHAnsi" w:hAnsiTheme="minorHAnsi" w:hint="default"/>
          <w:color w:val="008C9B" w:themeColor="accent1"/>
        </w:rPr>
      </w:lvl>
    </w:lvlOverride>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 w:numId="6">
    <w:abstractNumId w:val="0"/>
  </w:num>
  <w:num w:numId="7">
    <w:abstractNumId w:val="6"/>
  </w:num>
  <w:num w:numId="8">
    <w:abstractNumId w:val="4"/>
  </w:num>
  <w:num w:numId="9">
    <w:abstractNumId w:val="19"/>
  </w:num>
  <w:num w:numId="10">
    <w:abstractNumId w:val="29"/>
  </w:num>
  <w:num w:numId="11">
    <w:abstractNumId w:val="12"/>
  </w:num>
  <w:num w:numId="12">
    <w:abstractNumId w:val="7"/>
  </w:num>
  <w:num w:numId="13">
    <w:abstractNumId w:val="8"/>
  </w:num>
  <w:num w:numId="14">
    <w:abstractNumId w:val="10"/>
  </w:num>
  <w:num w:numId="15">
    <w:abstractNumId w:val="15"/>
  </w:num>
  <w:num w:numId="16">
    <w:abstractNumId w:val="23"/>
  </w:num>
  <w:num w:numId="17">
    <w:abstractNumId w:val="13"/>
  </w:num>
  <w:num w:numId="18">
    <w:abstractNumId w:val="9"/>
  </w:num>
  <w:num w:numId="19">
    <w:abstractNumId w:val="14"/>
  </w:num>
  <w:num w:numId="20">
    <w:abstractNumId w:val="26"/>
  </w:num>
  <w:num w:numId="21">
    <w:abstractNumId w:val="25"/>
  </w:num>
  <w:num w:numId="22">
    <w:abstractNumId w:val="30"/>
  </w:num>
  <w:num w:numId="23">
    <w:abstractNumId w:val="5"/>
  </w:num>
  <w:num w:numId="24">
    <w:abstractNumId w:val="21"/>
  </w:num>
  <w:num w:numId="25">
    <w:abstractNumId w:val="11"/>
  </w:num>
  <w:num w:numId="26">
    <w:abstractNumId w:val="31"/>
  </w:num>
  <w:num w:numId="27">
    <w:abstractNumId w:val="20"/>
  </w:num>
  <w:num w:numId="28">
    <w:abstractNumId w:val="28"/>
  </w:num>
  <w:num w:numId="29">
    <w:abstractNumId w:val="27"/>
  </w:num>
  <w:num w:numId="30">
    <w:abstractNumId w:val="17"/>
  </w:num>
  <w:num w:numId="31">
    <w:abstractNumId w:val="16"/>
  </w:num>
  <w:num w:numId="32">
    <w:abstractNumId w:val="24"/>
  </w:num>
  <w:num w:numId="33">
    <w:abstractNumId w:val="18"/>
  </w:num>
  <w:num w:numId="34">
    <w:abstractNumId w:val="18"/>
  </w:num>
  <w:num w:numId="35">
    <w:abstractNumId w:val="18"/>
    <w:lvlOverride w:ilvl="1">
      <w:lvl w:ilvl="1">
        <w:start w:val="1"/>
        <w:numFmt w:val="decimal"/>
        <w:pStyle w:val="Heading2"/>
        <w:lvlText w:val="%1.%2"/>
        <w:lvlJc w:val="left"/>
        <w:pPr>
          <w:ind w:left="141" w:firstLine="0"/>
        </w:pPr>
        <w:rPr>
          <w:rFonts w:hint="default"/>
          <w:i w:val="0"/>
          <w:sz w:val="28"/>
          <w:szCs w:val="28"/>
        </w:rPr>
      </w:lvl>
    </w:lvlOverride>
  </w:num>
  <w:num w:numId="36">
    <w:abstractNumId w:val="18"/>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 w:numId="37">
    <w:abstractNumId w:val="18"/>
    <w:lvlOverride w:ilvl="1">
      <w:lvl w:ilvl="1">
        <w:start w:val="1"/>
        <w:numFmt w:val="decimal"/>
        <w:pStyle w:val="Heading2"/>
        <w:lvlText w:val="%1.%2"/>
        <w:lvlJc w:val="left"/>
        <w:pPr>
          <w:ind w:left="141" w:firstLine="0"/>
        </w:pPr>
        <w:rPr>
          <w:rFonts w:hint="default"/>
          <w:i w:val="0"/>
          <w:color w:val="8A8E91" w:themeColor="accent4" w:themeShade="BF"/>
          <w:sz w:val="28"/>
          <w:szCs w:val="28"/>
        </w:rPr>
      </w:lvl>
    </w:lvlOverride>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34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053"/>
    <w:rsid w:val="0000019E"/>
    <w:rsid w:val="00001C12"/>
    <w:rsid w:val="000032D9"/>
    <w:rsid w:val="0000366E"/>
    <w:rsid w:val="00003D23"/>
    <w:rsid w:val="00006A82"/>
    <w:rsid w:val="00007A5E"/>
    <w:rsid w:val="0001130A"/>
    <w:rsid w:val="000121F3"/>
    <w:rsid w:val="00016319"/>
    <w:rsid w:val="000168DB"/>
    <w:rsid w:val="000206FD"/>
    <w:rsid w:val="00020A59"/>
    <w:rsid w:val="000225F2"/>
    <w:rsid w:val="00022CE6"/>
    <w:rsid w:val="00022D95"/>
    <w:rsid w:val="000306E8"/>
    <w:rsid w:val="000308C8"/>
    <w:rsid w:val="00030D94"/>
    <w:rsid w:val="00032334"/>
    <w:rsid w:val="00032440"/>
    <w:rsid w:val="000337DD"/>
    <w:rsid w:val="00034075"/>
    <w:rsid w:val="00034BC4"/>
    <w:rsid w:val="00035748"/>
    <w:rsid w:val="00041875"/>
    <w:rsid w:val="00043665"/>
    <w:rsid w:val="00045C1B"/>
    <w:rsid w:val="00047D39"/>
    <w:rsid w:val="00050D87"/>
    <w:rsid w:val="00051DD5"/>
    <w:rsid w:val="000540B6"/>
    <w:rsid w:val="00064FA6"/>
    <w:rsid w:val="00067868"/>
    <w:rsid w:val="00067F4A"/>
    <w:rsid w:val="00070452"/>
    <w:rsid w:val="00071DC7"/>
    <w:rsid w:val="000721D5"/>
    <w:rsid w:val="00072200"/>
    <w:rsid w:val="00072EBA"/>
    <w:rsid w:val="000757FE"/>
    <w:rsid w:val="00076452"/>
    <w:rsid w:val="00077390"/>
    <w:rsid w:val="000775BD"/>
    <w:rsid w:val="0008081F"/>
    <w:rsid w:val="00081E71"/>
    <w:rsid w:val="00082251"/>
    <w:rsid w:val="000827F6"/>
    <w:rsid w:val="0008458B"/>
    <w:rsid w:val="0009102E"/>
    <w:rsid w:val="00091674"/>
    <w:rsid w:val="0009314A"/>
    <w:rsid w:val="00095624"/>
    <w:rsid w:val="00095D06"/>
    <w:rsid w:val="00097979"/>
    <w:rsid w:val="000A265C"/>
    <w:rsid w:val="000A454D"/>
    <w:rsid w:val="000A478D"/>
    <w:rsid w:val="000A5D8C"/>
    <w:rsid w:val="000B1F8A"/>
    <w:rsid w:val="000B5359"/>
    <w:rsid w:val="000C6F1C"/>
    <w:rsid w:val="000D177A"/>
    <w:rsid w:val="000D236A"/>
    <w:rsid w:val="000D333E"/>
    <w:rsid w:val="000D7F85"/>
    <w:rsid w:val="000E0A81"/>
    <w:rsid w:val="000E1496"/>
    <w:rsid w:val="000E16C7"/>
    <w:rsid w:val="000E4F9E"/>
    <w:rsid w:val="000E6A22"/>
    <w:rsid w:val="000F1888"/>
    <w:rsid w:val="000F33CB"/>
    <w:rsid w:val="000F67F1"/>
    <w:rsid w:val="000F7B47"/>
    <w:rsid w:val="001007A9"/>
    <w:rsid w:val="001009E4"/>
    <w:rsid w:val="00100D25"/>
    <w:rsid w:val="00102BCF"/>
    <w:rsid w:val="00106B91"/>
    <w:rsid w:val="00107150"/>
    <w:rsid w:val="001071E9"/>
    <w:rsid w:val="001101D8"/>
    <w:rsid w:val="00112781"/>
    <w:rsid w:val="0011690A"/>
    <w:rsid w:val="00117CFE"/>
    <w:rsid w:val="00123988"/>
    <w:rsid w:val="00125EEC"/>
    <w:rsid w:val="00126E51"/>
    <w:rsid w:val="00130902"/>
    <w:rsid w:val="00131B69"/>
    <w:rsid w:val="00132D14"/>
    <w:rsid w:val="001332CA"/>
    <w:rsid w:val="00135AFA"/>
    <w:rsid w:val="001449BC"/>
    <w:rsid w:val="00156661"/>
    <w:rsid w:val="0016007E"/>
    <w:rsid w:val="00160F5F"/>
    <w:rsid w:val="00162953"/>
    <w:rsid w:val="00162A36"/>
    <w:rsid w:val="001646B3"/>
    <w:rsid w:val="001651EC"/>
    <w:rsid w:val="00165732"/>
    <w:rsid w:val="00166C0A"/>
    <w:rsid w:val="00166F09"/>
    <w:rsid w:val="00171DB7"/>
    <w:rsid w:val="00174A62"/>
    <w:rsid w:val="00176D4B"/>
    <w:rsid w:val="00177184"/>
    <w:rsid w:val="001802A7"/>
    <w:rsid w:val="001840E0"/>
    <w:rsid w:val="0018750B"/>
    <w:rsid w:val="00187824"/>
    <w:rsid w:val="00190BBE"/>
    <w:rsid w:val="00191DCC"/>
    <w:rsid w:val="001954C5"/>
    <w:rsid w:val="00195BD7"/>
    <w:rsid w:val="00196AA3"/>
    <w:rsid w:val="00197884"/>
    <w:rsid w:val="001A06D0"/>
    <w:rsid w:val="001A3019"/>
    <w:rsid w:val="001A58C9"/>
    <w:rsid w:val="001A5BDC"/>
    <w:rsid w:val="001C07BD"/>
    <w:rsid w:val="001C16F9"/>
    <w:rsid w:val="001C33A5"/>
    <w:rsid w:val="001C73C3"/>
    <w:rsid w:val="001C7E34"/>
    <w:rsid w:val="001D19F7"/>
    <w:rsid w:val="001E0C30"/>
    <w:rsid w:val="001E63EE"/>
    <w:rsid w:val="001E6968"/>
    <w:rsid w:val="001F28E1"/>
    <w:rsid w:val="001F3BD1"/>
    <w:rsid w:val="001F6A1D"/>
    <w:rsid w:val="001F6C3F"/>
    <w:rsid w:val="00200F18"/>
    <w:rsid w:val="0020507F"/>
    <w:rsid w:val="002053FD"/>
    <w:rsid w:val="00206D6D"/>
    <w:rsid w:val="00207BC4"/>
    <w:rsid w:val="002107FD"/>
    <w:rsid w:val="00211922"/>
    <w:rsid w:val="002142C5"/>
    <w:rsid w:val="00215215"/>
    <w:rsid w:val="0022042C"/>
    <w:rsid w:val="00221F8D"/>
    <w:rsid w:val="0022575C"/>
    <w:rsid w:val="00226BEF"/>
    <w:rsid w:val="00230E16"/>
    <w:rsid w:val="002312AF"/>
    <w:rsid w:val="002314F0"/>
    <w:rsid w:val="002349E2"/>
    <w:rsid w:val="0023509D"/>
    <w:rsid w:val="00236549"/>
    <w:rsid w:val="00240661"/>
    <w:rsid w:val="002408D1"/>
    <w:rsid w:val="00245DE7"/>
    <w:rsid w:val="00246A0E"/>
    <w:rsid w:val="00247076"/>
    <w:rsid w:val="00247417"/>
    <w:rsid w:val="00250678"/>
    <w:rsid w:val="002519BB"/>
    <w:rsid w:val="00253B0F"/>
    <w:rsid w:val="00254A83"/>
    <w:rsid w:val="00256745"/>
    <w:rsid w:val="002609CB"/>
    <w:rsid w:val="00260D92"/>
    <w:rsid w:val="00263523"/>
    <w:rsid w:val="00265933"/>
    <w:rsid w:val="00270958"/>
    <w:rsid w:val="00275DF1"/>
    <w:rsid w:val="00281114"/>
    <w:rsid w:val="00290501"/>
    <w:rsid w:val="0029145E"/>
    <w:rsid w:val="002946F2"/>
    <w:rsid w:val="002A0E7D"/>
    <w:rsid w:val="002A3EA6"/>
    <w:rsid w:val="002A469B"/>
    <w:rsid w:val="002A5745"/>
    <w:rsid w:val="002A5E9C"/>
    <w:rsid w:val="002A5F37"/>
    <w:rsid w:val="002A726D"/>
    <w:rsid w:val="002B1D21"/>
    <w:rsid w:val="002B45C6"/>
    <w:rsid w:val="002B5772"/>
    <w:rsid w:val="002B5A16"/>
    <w:rsid w:val="002C0D9D"/>
    <w:rsid w:val="002C2D0D"/>
    <w:rsid w:val="002D4C3D"/>
    <w:rsid w:val="002D722F"/>
    <w:rsid w:val="002E2857"/>
    <w:rsid w:val="002F0710"/>
    <w:rsid w:val="002F4676"/>
    <w:rsid w:val="002F5CB6"/>
    <w:rsid w:val="00300F73"/>
    <w:rsid w:val="00303AE5"/>
    <w:rsid w:val="00305EBF"/>
    <w:rsid w:val="0030679D"/>
    <w:rsid w:val="00306F22"/>
    <w:rsid w:val="00306FE4"/>
    <w:rsid w:val="00307E8C"/>
    <w:rsid w:val="00310741"/>
    <w:rsid w:val="00310F0E"/>
    <w:rsid w:val="00310FC9"/>
    <w:rsid w:val="00314870"/>
    <w:rsid w:val="00316376"/>
    <w:rsid w:val="00317EA9"/>
    <w:rsid w:val="00321FEE"/>
    <w:rsid w:val="00324F18"/>
    <w:rsid w:val="00325037"/>
    <w:rsid w:val="0032505F"/>
    <w:rsid w:val="0032634F"/>
    <w:rsid w:val="0032640F"/>
    <w:rsid w:val="00326DB1"/>
    <w:rsid w:val="00333ADD"/>
    <w:rsid w:val="0034433C"/>
    <w:rsid w:val="00347958"/>
    <w:rsid w:val="00350EE0"/>
    <w:rsid w:val="00355E7A"/>
    <w:rsid w:val="0036342A"/>
    <w:rsid w:val="00364400"/>
    <w:rsid w:val="00364DF9"/>
    <w:rsid w:val="003707E0"/>
    <w:rsid w:val="003742E8"/>
    <w:rsid w:val="00376672"/>
    <w:rsid w:val="003803FE"/>
    <w:rsid w:val="003834DA"/>
    <w:rsid w:val="00386B1E"/>
    <w:rsid w:val="00387F9F"/>
    <w:rsid w:val="00394BB6"/>
    <w:rsid w:val="00394FFF"/>
    <w:rsid w:val="00397543"/>
    <w:rsid w:val="003A1D6E"/>
    <w:rsid w:val="003B0BF6"/>
    <w:rsid w:val="003B22A2"/>
    <w:rsid w:val="003B3B94"/>
    <w:rsid w:val="003C0EF6"/>
    <w:rsid w:val="003C3070"/>
    <w:rsid w:val="003C3699"/>
    <w:rsid w:val="003C47CC"/>
    <w:rsid w:val="003C4BC6"/>
    <w:rsid w:val="003C7F77"/>
    <w:rsid w:val="003D0188"/>
    <w:rsid w:val="003D0A87"/>
    <w:rsid w:val="003D0D3C"/>
    <w:rsid w:val="003D363D"/>
    <w:rsid w:val="003D6E44"/>
    <w:rsid w:val="003E1704"/>
    <w:rsid w:val="003E3EF2"/>
    <w:rsid w:val="003E40F7"/>
    <w:rsid w:val="003E4E07"/>
    <w:rsid w:val="003F01A8"/>
    <w:rsid w:val="003F0A50"/>
    <w:rsid w:val="003F1F81"/>
    <w:rsid w:val="003F3070"/>
    <w:rsid w:val="003F7653"/>
    <w:rsid w:val="004002F0"/>
    <w:rsid w:val="004038ED"/>
    <w:rsid w:val="0041215D"/>
    <w:rsid w:val="0041240B"/>
    <w:rsid w:val="00412B76"/>
    <w:rsid w:val="00423757"/>
    <w:rsid w:val="00423798"/>
    <w:rsid w:val="00424E06"/>
    <w:rsid w:val="00424F1F"/>
    <w:rsid w:val="00426236"/>
    <w:rsid w:val="00426E10"/>
    <w:rsid w:val="00427731"/>
    <w:rsid w:val="00427C7E"/>
    <w:rsid w:val="00430485"/>
    <w:rsid w:val="0043092F"/>
    <w:rsid w:val="00430983"/>
    <w:rsid w:val="00432C9E"/>
    <w:rsid w:val="0043454A"/>
    <w:rsid w:val="004361D7"/>
    <w:rsid w:val="0043696E"/>
    <w:rsid w:val="0044152C"/>
    <w:rsid w:val="004455DE"/>
    <w:rsid w:val="00447D04"/>
    <w:rsid w:val="00447D1A"/>
    <w:rsid w:val="004632E2"/>
    <w:rsid w:val="004634AD"/>
    <w:rsid w:val="004648CD"/>
    <w:rsid w:val="00464B04"/>
    <w:rsid w:val="00464FAE"/>
    <w:rsid w:val="00465CA8"/>
    <w:rsid w:val="004672DB"/>
    <w:rsid w:val="00481063"/>
    <w:rsid w:val="004841E3"/>
    <w:rsid w:val="004842F7"/>
    <w:rsid w:val="00485EC7"/>
    <w:rsid w:val="00487061"/>
    <w:rsid w:val="00490ACC"/>
    <w:rsid w:val="00491B4A"/>
    <w:rsid w:val="0049204A"/>
    <w:rsid w:val="004931FE"/>
    <w:rsid w:val="004947A2"/>
    <w:rsid w:val="004967EE"/>
    <w:rsid w:val="004A1A14"/>
    <w:rsid w:val="004A5834"/>
    <w:rsid w:val="004A6D15"/>
    <w:rsid w:val="004A6F83"/>
    <w:rsid w:val="004A7606"/>
    <w:rsid w:val="004B23B5"/>
    <w:rsid w:val="004B42E7"/>
    <w:rsid w:val="004B6105"/>
    <w:rsid w:val="004C1BD2"/>
    <w:rsid w:val="004C1C4E"/>
    <w:rsid w:val="004C3D61"/>
    <w:rsid w:val="004C4D9C"/>
    <w:rsid w:val="004C609D"/>
    <w:rsid w:val="004D3DA6"/>
    <w:rsid w:val="004D751F"/>
    <w:rsid w:val="004E18B4"/>
    <w:rsid w:val="004E26C1"/>
    <w:rsid w:val="004F1540"/>
    <w:rsid w:val="004F4FBC"/>
    <w:rsid w:val="005019D6"/>
    <w:rsid w:val="0050538B"/>
    <w:rsid w:val="00506F0F"/>
    <w:rsid w:val="00511083"/>
    <w:rsid w:val="005124F1"/>
    <w:rsid w:val="00512E12"/>
    <w:rsid w:val="005131DD"/>
    <w:rsid w:val="005132E0"/>
    <w:rsid w:val="00514DFA"/>
    <w:rsid w:val="00521761"/>
    <w:rsid w:val="00523222"/>
    <w:rsid w:val="005245A8"/>
    <w:rsid w:val="0053093B"/>
    <w:rsid w:val="00531537"/>
    <w:rsid w:val="00531BDE"/>
    <w:rsid w:val="0053430E"/>
    <w:rsid w:val="00534EEE"/>
    <w:rsid w:val="00540518"/>
    <w:rsid w:val="00542245"/>
    <w:rsid w:val="005528AA"/>
    <w:rsid w:val="0055643D"/>
    <w:rsid w:val="00556CDB"/>
    <w:rsid w:val="00563826"/>
    <w:rsid w:val="00564E28"/>
    <w:rsid w:val="005666BF"/>
    <w:rsid w:val="00567762"/>
    <w:rsid w:val="005715D7"/>
    <w:rsid w:val="00573195"/>
    <w:rsid w:val="00574295"/>
    <w:rsid w:val="00574D4E"/>
    <w:rsid w:val="0057506A"/>
    <w:rsid w:val="00575E40"/>
    <w:rsid w:val="00577F40"/>
    <w:rsid w:val="00581191"/>
    <w:rsid w:val="00583D6E"/>
    <w:rsid w:val="005845B8"/>
    <w:rsid w:val="0058661F"/>
    <w:rsid w:val="005867D5"/>
    <w:rsid w:val="00587C33"/>
    <w:rsid w:val="00591A1A"/>
    <w:rsid w:val="005927C1"/>
    <w:rsid w:val="005937E1"/>
    <w:rsid w:val="00594D35"/>
    <w:rsid w:val="00595532"/>
    <w:rsid w:val="005A22CE"/>
    <w:rsid w:val="005A5B18"/>
    <w:rsid w:val="005A6FB0"/>
    <w:rsid w:val="005B13D8"/>
    <w:rsid w:val="005B3516"/>
    <w:rsid w:val="005B4A69"/>
    <w:rsid w:val="005C1E57"/>
    <w:rsid w:val="005C2329"/>
    <w:rsid w:val="005C6E8F"/>
    <w:rsid w:val="005C7575"/>
    <w:rsid w:val="005D0A8D"/>
    <w:rsid w:val="005D37CB"/>
    <w:rsid w:val="005D4070"/>
    <w:rsid w:val="005D5377"/>
    <w:rsid w:val="005E31B4"/>
    <w:rsid w:val="005E4CB2"/>
    <w:rsid w:val="005E6ECB"/>
    <w:rsid w:val="005F04B5"/>
    <w:rsid w:val="005F219F"/>
    <w:rsid w:val="005F5B52"/>
    <w:rsid w:val="006006E4"/>
    <w:rsid w:val="006019DE"/>
    <w:rsid w:val="00601E43"/>
    <w:rsid w:val="00607188"/>
    <w:rsid w:val="006077B0"/>
    <w:rsid w:val="00607A16"/>
    <w:rsid w:val="00610D6F"/>
    <w:rsid w:val="00610DA5"/>
    <w:rsid w:val="00612BDA"/>
    <w:rsid w:val="00613078"/>
    <w:rsid w:val="00613918"/>
    <w:rsid w:val="006168DA"/>
    <w:rsid w:val="00620CC2"/>
    <w:rsid w:val="006226BD"/>
    <w:rsid w:val="00622975"/>
    <w:rsid w:val="006272FE"/>
    <w:rsid w:val="00627679"/>
    <w:rsid w:val="00627CF3"/>
    <w:rsid w:val="006324CB"/>
    <w:rsid w:val="00632FFC"/>
    <w:rsid w:val="00640176"/>
    <w:rsid w:val="006440FD"/>
    <w:rsid w:val="00644785"/>
    <w:rsid w:val="00646D86"/>
    <w:rsid w:val="00650A75"/>
    <w:rsid w:val="006514D1"/>
    <w:rsid w:val="00651728"/>
    <w:rsid w:val="00651995"/>
    <w:rsid w:val="00654BBE"/>
    <w:rsid w:val="00666ADB"/>
    <w:rsid w:val="00667F0B"/>
    <w:rsid w:val="00672392"/>
    <w:rsid w:val="00674D78"/>
    <w:rsid w:val="00675DDF"/>
    <w:rsid w:val="00680770"/>
    <w:rsid w:val="00681A40"/>
    <w:rsid w:val="00682C2B"/>
    <w:rsid w:val="00684190"/>
    <w:rsid w:val="00686AFA"/>
    <w:rsid w:val="00692BF3"/>
    <w:rsid w:val="00693002"/>
    <w:rsid w:val="0069474C"/>
    <w:rsid w:val="00695DA0"/>
    <w:rsid w:val="00696241"/>
    <w:rsid w:val="00696386"/>
    <w:rsid w:val="006A1032"/>
    <w:rsid w:val="006A55F5"/>
    <w:rsid w:val="006A6217"/>
    <w:rsid w:val="006B11EA"/>
    <w:rsid w:val="006B54BA"/>
    <w:rsid w:val="006B656A"/>
    <w:rsid w:val="006C2AA6"/>
    <w:rsid w:val="006C3E97"/>
    <w:rsid w:val="006C49FB"/>
    <w:rsid w:val="006C7E55"/>
    <w:rsid w:val="006D10DF"/>
    <w:rsid w:val="006D2C9C"/>
    <w:rsid w:val="006D2E95"/>
    <w:rsid w:val="006D2F63"/>
    <w:rsid w:val="006D4BE9"/>
    <w:rsid w:val="006D583E"/>
    <w:rsid w:val="006D744C"/>
    <w:rsid w:val="006E031B"/>
    <w:rsid w:val="006E3CB9"/>
    <w:rsid w:val="006E3FC1"/>
    <w:rsid w:val="006E733A"/>
    <w:rsid w:val="006F26DC"/>
    <w:rsid w:val="006F32E3"/>
    <w:rsid w:val="006F4830"/>
    <w:rsid w:val="006F49CE"/>
    <w:rsid w:val="006F4D85"/>
    <w:rsid w:val="006F63BD"/>
    <w:rsid w:val="00703174"/>
    <w:rsid w:val="00705A62"/>
    <w:rsid w:val="00706324"/>
    <w:rsid w:val="00710DC3"/>
    <w:rsid w:val="00711839"/>
    <w:rsid w:val="007122AF"/>
    <w:rsid w:val="00712D1C"/>
    <w:rsid w:val="007144FF"/>
    <w:rsid w:val="00717C6C"/>
    <w:rsid w:val="007202F0"/>
    <w:rsid w:val="00722BAE"/>
    <w:rsid w:val="00723A9E"/>
    <w:rsid w:val="0072523D"/>
    <w:rsid w:val="007259FB"/>
    <w:rsid w:val="00726394"/>
    <w:rsid w:val="007274FF"/>
    <w:rsid w:val="0072757D"/>
    <w:rsid w:val="007318E6"/>
    <w:rsid w:val="00731F97"/>
    <w:rsid w:val="00732AA9"/>
    <w:rsid w:val="00735E60"/>
    <w:rsid w:val="007360E0"/>
    <w:rsid w:val="00740F33"/>
    <w:rsid w:val="00741AD8"/>
    <w:rsid w:val="00741C82"/>
    <w:rsid w:val="00742DF3"/>
    <w:rsid w:val="00745AFB"/>
    <w:rsid w:val="00750F57"/>
    <w:rsid w:val="00760374"/>
    <w:rsid w:val="0076148B"/>
    <w:rsid w:val="00762D07"/>
    <w:rsid w:val="007650A1"/>
    <w:rsid w:val="00765741"/>
    <w:rsid w:val="00765833"/>
    <w:rsid w:val="00765FD1"/>
    <w:rsid w:val="0076720F"/>
    <w:rsid w:val="00773CE3"/>
    <w:rsid w:val="007744AD"/>
    <w:rsid w:val="00775A61"/>
    <w:rsid w:val="007813A9"/>
    <w:rsid w:val="00781D3E"/>
    <w:rsid w:val="0078337A"/>
    <w:rsid w:val="007841A8"/>
    <w:rsid w:val="00787F59"/>
    <w:rsid w:val="00792FDF"/>
    <w:rsid w:val="00793396"/>
    <w:rsid w:val="0079635D"/>
    <w:rsid w:val="007A2119"/>
    <w:rsid w:val="007A6501"/>
    <w:rsid w:val="007B0DD5"/>
    <w:rsid w:val="007B1102"/>
    <w:rsid w:val="007B19DD"/>
    <w:rsid w:val="007B1D5B"/>
    <w:rsid w:val="007B32B5"/>
    <w:rsid w:val="007C0F72"/>
    <w:rsid w:val="007C1910"/>
    <w:rsid w:val="007C28A9"/>
    <w:rsid w:val="007C40F7"/>
    <w:rsid w:val="007D2366"/>
    <w:rsid w:val="007D33DD"/>
    <w:rsid w:val="007D4BEF"/>
    <w:rsid w:val="007D66F8"/>
    <w:rsid w:val="007D6EF1"/>
    <w:rsid w:val="007E4A50"/>
    <w:rsid w:val="007E53A0"/>
    <w:rsid w:val="007E6A76"/>
    <w:rsid w:val="007F17B9"/>
    <w:rsid w:val="007F1EFD"/>
    <w:rsid w:val="007F28E2"/>
    <w:rsid w:val="007F66EA"/>
    <w:rsid w:val="0080030B"/>
    <w:rsid w:val="00801D46"/>
    <w:rsid w:val="00802A77"/>
    <w:rsid w:val="00802AAA"/>
    <w:rsid w:val="00802C95"/>
    <w:rsid w:val="00802F47"/>
    <w:rsid w:val="00806EFE"/>
    <w:rsid w:val="00813540"/>
    <w:rsid w:val="008215BB"/>
    <w:rsid w:val="00822886"/>
    <w:rsid w:val="00822C3B"/>
    <w:rsid w:val="00825F71"/>
    <w:rsid w:val="0083238D"/>
    <w:rsid w:val="00832A87"/>
    <w:rsid w:val="00833960"/>
    <w:rsid w:val="00837CDE"/>
    <w:rsid w:val="00842C8A"/>
    <w:rsid w:val="00851FD9"/>
    <w:rsid w:val="00853F76"/>
    <w:rsid w:val="0085551C"/>
    <w:rsid w:val="00860E4D"/>
    <w:rsid w:val="00867B00"/>
    <w:rsid w:val="00870746"/>
    <w:rsid w:val="0087221D"/>
    <w:rsid w:val="00876800"/>
    <w:rsid w:val="00881A44"/>
    <w:rsid w:val="0088432B"/>
    <w:rsid w:val="00884B29"/>
    <w:rsid w:val="00885B5E"/>
    <w:rsid w:val="00885D5A"/>
    <w:rsid w:val="0088708A"/>
    <w:rsid w:val="00892077"/>
    <w:rsid w:val="00892189"/>
    <w:rsid w:val="00893B75"/>
    <w:rsid w:val="00897D79"/>
    <w:rsid w:val="008A0E5C"/>
    <w:rsid w:val="008A369C"/>
    <w:rsid w:val="008A3C9F"/>
    <w:rsid w:val="008A3CD0"/>
    <w:rsid w:val="008A4ABC"/>
    <w:rsid w:val="008A55AE"/>
    <w:rsid w:val="008A62A5"/>
    <w:rsid w:val="008A6DB1"/>
    <w:rsid w:val="008B0A02"/>
    <w:rsid w:val="008B0D32"/>
    <w:rsid w:val="008B1B0F"/>
    <w:rsid w:val="008B1E98"/>
    <w:rsid w:val="008B26EC"/>
    <w:rsid w:val="008B3A2F"/>
    <w:rsid w:val="008B6E39"/>
    <w:rsid w:val="008C07AE"/>
    <w:rsid w:val="008C2567"/>
    <w:rsid w:val="008D0392"/>
    <w:rsid w:val="008D0671"/>
    <w:rsid w:val="008D0B63"/>
    <w:rsid w:val="008D4C2E"/>
    <w:rsid w:val="008D590C"/>
    <w:rsid w:val="008D65D3"/>
    <w:rsid w:val="008D6C5A"/>
    <w:rsid w:val="008E0052"/>
    <w:rsid w:val="008E0882"/>
    <w:rsid w:val="008F05A3"/>
    <w:rsid w:val="008F1910"/>
    <w:rsid w:val="008F63F2"/>
    <w:rsid w:val="008F798F"/>
    <w:rsid w:val="00900189"/>
    <w:rsid w:val="00902210"/>
    <w:rsid w:val="009039CB"/>
    <w:rsid w:val="00905793"/>
    <w:rsid w:val="00907F36"/>
    <w:rsid w:val="00910049"/>
    <w:rsid w:val="00913648"/>
    <w:rsid w:val="00916197"/>
    <w:rsid w:val="00920E90"/>
    <w:rsid w:val="0092388F"/>
    <w:rsid w:val="009245D9"/>
    <w:rsid w:val="009261BE"/>
    <w:rsid w:val="00931664"/>
    <w:rsid w:val="00931C32"/>
    <w:rsid w:val="00933CD9"/>
    <w:rsid w:val="00941066"/>
    <w:rsid w:val="00941EA2"/>
    <w:rsid w:val="00942955"/>
    <w:rsid w:val="0094443B"/>
    <w:rsid w:val="0094526E"/>
    <w:rsid w:val="0094578F"/>
    <w:rsid w:val="009542C1"/>
    <w:rsid w:val="00954E4E"/>
    <w:rsid w:val="00963862"/>
    <w:rsid w:val="00963C7E"/>
    <w:rsid w:val="009660D9"/>
    <w:rsid w:val="00966BDB"/>
    <w:rsid w:val="009675EC"/>
    <w:rsid w:val="00972C7F"/>
    <w:rsid w:val="0097691B"/>
    <w:rsid w:val="00980EB9"/>
    <w:rsid w:val="009817F8"/>
    <w:rsid w:val="00981D79"/>
    <w:rsid w:val="00981E75"/>
    <w:rsid w:val="0098492E"/>
    <w:rsid w:val="009861BC"/>
    <w:rsid w:val="00991BA2"/>
    <w:rsid w:val="009932F6"/>
    <w:rsid w:val="0099578C"/>
    <w:rsid w:val="009979A9"/>
    <w:rsid w:val="009A1743"/>
    <w:rsid w:val="009A327E"/>
    <w:rsid w:val="009A3697"/>
    <w:rsid w:val="009A427D"/>
    <w:rsid w:val="009A48B3"/>
    <w:rsid w:val="009A78B6"/>
    <w:rsid w:val="009B206B"/>
    <w:rsid w:val="009B24ED"/>
    <w:rsid w:val="009B3EFC"/>
    <w:rsid w:val="009B4BDF"/>
    <w:rsid w:val="009B560D"/>
    <w:rsid w:val="009B627B"/>
    <w:rsid w:val="009B633F"/>
    <w:rsid w:val="009C2C5B"/>
    <w:rsid w:val="009C3717"/>
    <w:rsid w:val="009C6F9E"/>
    <w:rsid w:val="009C6FE1"/>
    <w:rsid w:val="009D0E3E"/>
    <w:rsid w:val="009D3360"/>
    <w:rsid w:val="009E0286"/>
    <w:rsid w:val="009E06DF"/>
    <w:rsid w:val="009E3907"/>
    <w:rsid w:val="009E4915"/>
    <w:rsid w:val="009E5432"/>
    <w:rsid w:val="009F5925"/>
    <w:rsid w:val="009F7D39"/>
    <w:rsid w:val="00A003C0"/>
    <w:rsid w:val="00A03B3F"/>
    <w:rsid w:val="00A05ED6"/>
    <w:rsid w:val="00A06E3F"/>
    <w:rsid w:val="00A11083"/>
    <w:rsid w:val="00A11E15"/>
    <w:rsid w:val="00A131FA"/>
    <w:rsid w:val="00A136DE"/>
    <w:rsid w:val="00A15B06"/>
    <w:rsid w:val="00A217B4"/>
    <w:rsid w:val="00A256C1"/>
    <w:rsid w:val="00A2678C"/>
    <w:rsid w:val="00A305A9"/>
    <w:rsid w:val="00A306F3"/>
    <w:rsid w:val="00A30BE3"/>
    <w:rsid w:val="00A30EE6"/>
    <w:rsid w:val="00A3125D"/>
    <w:rsid w:val="00A317EC"/>
    <w:rsid w:val="00A36156"/>
    <w:rsid w:val="00A3710F"/>
    <w:rsid w:val="00A37389"/>
    <w:rsid w:val="00A373BE"/>
    <w:rsid w:val="00A41C77"/>
    <w:rsid w:val="00A420C1"/>
    <w:rsid w:val="00A4415F"/>
    <w:rsid w:val="00A4490F"/>
    <w:rsid w:val="00A46D03"/>
    <w:rsid w:val="00A50609"/>
    <w:rsid w:val="00A51723"/>
    <w:rsid w:val="00A51734"/>
    <w:rsid w:val="00A51D64"/>
    <w:rsid w:val="00A54626"/>
    <w:rsid w:val="00A56A08"/>
    <w:rsid w:val="00A613E8"/>
    <w:rsid w:val="00A61E76"/>
    <w:rsid w:val="00A639E8"/>
    <w:rsid w:val="00A65136"/>
    <w:rsid w:val="00A67113"/>
    <w:rsid w:val="00A70B1C"/>
    <w:rsid w:val="00A757B5"/>
    <w:rsid w:val="00A76027"/>
    <w:rsid w:val="00A80F2B"/>
    <w:rsid w:val="00A81250"/>
    <w:rsid w:val="00A819F3"/>
    <w:rsid w:val="00A839A0"/>
    <w:rsid w:val="00A84088"/>
    <w:rsid w:val="00A90920"/>
    <w:rsid w:val="00A94645"/>
    <w:rsid w:val="00AA036C"/>
    <w:rsid w:val="00AA4C55"/>
    <w:rsid w:val="00AA699D"/>
    <w:rsid w:val="00AA7195"/>
    <w:rsid w:val="00AB2FE4"/>
    <w:rsid w:val="00AB3F11"/>
    <w:rsid w:val="00AB58F0"/>
    <w:rsid w:val="00AC14DE"/>
    <w:rsid w:val="00AC25B1"/>
    <w:rsid w:val="00AC32B6"/>
    <w:rsid w:val="00AC5E49"/>
    <w:rsid w:val="00AD03D1"/>
    <w:rsid w:val="00AD2941"/>
    <w:rsid w:val="00AD2E25"/>
    <w:rsid w:val="00AD75D9"/>
    <w:rsid w:val="00AD7EE5"/>
    <w:rsid w:val="00AE0169"/>
    <w:rsid w:val="00AE1F12"/>
    <w:rsid w:val="00AE28C8"/>
    <w:rsid w:val="00AE63EC"/>
    <w:rsid w:val="00AE6788"/>
    <w:rsid w:val="00AF5F10"/>
    <w:rsid w:val="00AF5FE6"/>
    <w:rsid w:val="00AF7300"/>
    <w:rsid w:val="00B00D3F"/>
    <w:rsid w:val="00B057AD"/>
    <w:rsid w:val="00B05C74"/>
    <w:rsid w:val="00B06EF3"/>
    <w:rsid w:val="00B12041"/>
    <w:rsid w:val="00B13557"/>
    <w:rsid w:val="00B1455E"/>
    <w:rsid w:val="00B16F15"/>
    <w:rsid w:val="00B21843"/>
    <w:rsid w:val="00B21D97"/>
    <w:rsid w:val="00B2575E"/>
    <w:rsid w:val="00B31092"/>
    <w:rsid w:val="00B31695"/>
    <w:rsid w:val="00B3199F"/>
    <w:rsid w:val="00B34FF8"/>
    <w:rsid w:val="00B350D4"/>
    <w:rsid w:val="00B44C24"/>
    <w:rsid w:val="00B44CD4"/>
    <w:rsid w:val="00B5060B"/>
    <w:rsid w:val="00B55CAF"/>
    <w:rsid w:val="00B60125"/>
    <w:rsid w:val="00B65142"/>
    <w:rsid w:val="00B662D9"/>
    <w:rsid w:val="00B721D7"/>
    <w:rsid w:val="00B74790"/>
    <w:rsid w:val="00B74C37"/>
    <w:rsid w:val="00B75FAE"/>
    <w:rsid w:val="00B770F6"/>
    <w:rsid w:val="00B81589"/>
    <w:rsid w:val="00B81A21"/>
    <w:rsid w:val="00B848F6"/>
    <w:rsid w:val="00B87876"/>
    <w:rsid w:val="00B92E2D"/>
    <w:rsid w:val="00B95517"/>
    <w:rsid w:val="00B9586B"/>
    <w:rsid w:val="00BA02E9"/>
    <w:rsid w:val="00BA64EA"/>
    <w:rsid w:val="00BA7FCD"/>
    <w:rsid w:val="00BC2B11"/>
    <w:rsid w:val="00BC5710"/>
    <w:rsid w:val="00BC67ED"/>
    <w:rsid w:val="00BC7DC4"/>
    <w:rsid w:val="00BD223F"/>
    <w:rsid w:val="00BD2385"/>
    <w:rsid w:val="00BD2AE3"/>
    <w:rsid w:val="00BD3D31"/>
    <w:rsid w:val="00BD729E"/>
    <w:rsid w:val="00BE1C6E"/>
    <w:rsid w:val="00BE4167"/>
    <w:rsid w:val="00BE4767"/>
    <w:rsid w:val="00BE66D7"/>
    <w:rsid w:val="00BF051E"/>
    <w:rsid w:val="00BF1FC5"/>
    <w:rsid w:val="00BF56AC"/>
    <w:rsid w:val="00BF5AE3"/>
    <w:rsid w:val="00BF719B"/>
    <w:rsid w:val="00C051AB"/>
    <w:rsid w:val="00C06635"/>
    <w:rsid w:val="00C073CF"/>
    <w:rsid w:val="00C16080"/>
    <w:rsid w:val="00C173F4"/>
    <w:rsid w:val="00C2562F"/>
    <w:rsid w:val="00C25CC9"/>
    <w:rsid w:val="00C30C49"/>
    <w:rsid w:val="00C30EA7"/>
    <w:rsid w:val="00C3289B"/>
    <w:rsid w:val="00C3605A"/>
    <w:rsid w:val="00C40190"/>
    <w:rsid w:val="00C41D9B"/>
    <w:rsid w:val="00C446F7"/>
    <w:rsid w:val="00C449AC"/>
    <w:rsid w:val="00C467B0"/>
    <w:rsid w:val="00C4728B"/>
    <w:rsid w:val="00C5158D"/>
    <w:rsid w:val="00C525C5"/>
    <w:rsid w:val="00C5296D"/>
    <w:rsid w:val="00C55D66"/>
    <w:rsid w:val="00C57340"/>
    <w:rsid w:val="00C602F8"/>
    <w:rsid w:val="00C616C7"/>
    <w:rsid w:val="00C61B2A"/>
    <w:rsid w:val="00C627A9"/>
    <w:rsid w:val="00C65496"/>
    <w:rsid w:val="00C660B3"/>
    <w:rsid w:val="00C70850"/>
    <w:rsid w:val="00C70F05"/>
    <w:rsid w:val="00C723F8"/>
    <w:rsid w:val="00C72A6E"/>
    <w:rsid w:val="00C72C0F"/>
    <w:rsid w:val="00C812A8"/>
    <w:rsid w:val="00C815E7"/>
    <w:rsid w:val="00C81A27"/>
    <w:rsid w:val="00C83CAF"/>
    <w:rsid w:val="00C84B03"/>
    <w:rsid w:val="00C85018"/>
    <w:rsid w:val="00C86606"/>
    <w:rsid w:val="00C86939"/>
    <w:rsid w:val="00C86A3C"/>
    <w:rsid w:val="00C94329"/>
    <w:rsid w:val="00C9551F"/>
    <w:rsid w:val="00C95C8C"/>
    <w:rsid w:val="00C96798"/>
    <w:rsid w:val="00CA0053"/>
    <w:rsid w:val="00CA1B5F"/>
    <w:rsid w:val="00CA1BBF"/>
    <w:rsid w:val="00CB0D2E"/>
    <w:rsid w:val="00CB1663"/>
    <w:rsid w:val="00CB497C"/>
    <w:rsid w:val="00CB556F"/>
    <w:rsid w:val="00CB6C2A"/>
    <w:rsid w:val="00CB6DE8"/>
    <w:rsid w:val="00CB72B8"/>
    <w:rsid w:val="00CB76C6"/>
    <w:rsid w:val="00CC11D4"/>
    <w:rsid w:val="00CC1565"/>
    <w:rsid w:val="00CC5952"/>
    <w:rsid w:val="00CD0B55"/>
    <w:rsid w:val="00CD1ECE"/>
    <w:rsid w:val="00CD493D"/>
    <w:rsid w:val="00CD6245"/>
    <w:rsid w:val="00CD65E7"/>
    <w:rsid w:val="00CD7D81"/>
    <w:rsid w:val="00CE2177"/>
    <w:rsid w:val="00CE3E75"/>
    <w:rsid w:val="00CE4543"/>
    <w:rsid w:val="00CE5135"/>
    <w:rsid w:val="00CE7641"/>
    <w:rsid w:val="00CF2AC6"/>
    <w:rsid w:val="00CF3BA6"/>
    <w:rsid w:val="00CF53FB"/>
    <w:rsid w:val="00CF74D5"/>
    <w:rsid w:val="00CF778B"/>
    <w:rsid w:val="00D0073F"/>
    <w:rsid w:val="00D02CB2"/>
    <w:rsid w:val="00D03C01"/>
    <w:rsid w:val="00D04350"/>
    <w:rsid w:val="00D05600"/>
    <w:rsid w:val="00D05A39"/>
    <w:rsid w:val="00D11701"/>
    <w:rsid w:val="00D1232D"/>
    <w:rsid w:val="00D20D60"/>
    <w:rsid w:val="00D22814"/>
    <w:rsid w:val="00D24DE7"/>
    <w:rsid w:val="00D326B5"/>
    <w:rsid w:val="00D338B8"/>
    <w:rsid w:val="00D410CF"/>
    <w:rsid w:val="00D4164E"/>
    <w:rsid w:val="00D4364A"/>
    <w:rsid w:val="00D43EC4"/>
    <w:rsid w:val="00D44960"/>
    <w:rsid w:val="00D60209"/>
    <w:rsid w:val="00D64D35"/>
    <w:rsid w:val="00D65D93"/>
    <w:rsid w:val="00D70578"/>
    <w:rsid w:val="00D72445"/>
    <w:rsid w:val="00D7334A"/>
    <w:rsid w:val="00D766F0"/>
    <w:rsid w:val="00D80678"/>
    <w:rsid w:val="00D817BE"/>
    <w:rsid w:val="00D83237"/>
    <w:rsid w:val="00D85101"/>
    <w:rsid w:val="00D87D91"/>
    <w:rsid w:val="00D917EC"/>
    <w:rsid w:val="00D91D4B"/>
    <w:rsid w:val="00D97EF6"/>
    <w:rsid w:val="00DA4003"/>
    <w:rsid w:val="00DA6532"/>
    <w:rsid w:val="00DB01B6"/>
    <w:rsid w:val="00DB02D9"/>
    <w:rsid w:val="00DB0FC0"/>
    <w:rsid w:val="00DB7B5F"/>
    <w:rsid w:val="00DC007F"/>
    <w:rsid w:val="00DC188C"/>
    <w:rsid w:val="00DC765F"/>
    <w:rsid w:val="00DD3CA0"/>
    <w:rsid w:val="00DD5FB4"/>
    <w:rsid w:val="00DD6F1F"/>
    <w:rsid w:val="00DD76A4"/>
    <w:rsid w:val="00DE1904"/>
    <w:rsid w:val="00DE5058"/>
    <w:rsid w:val="00DE5B92"/>
    <w:rsid w:val="00DE6686"/>
    <w:rsid w:val="00DE6B96"/>
    <w:rsid w:val="00DF3A0F"/>
    <w:rsid w:val="00DF6654"/>
    <w:rsid w:val="00E05B29"/>
    <w:rsid w:val="00E072EA"/>
    <w:rsid w:val="00E10489"/>
    <w:rsid w:val="00E11396"/>
    <w:rsid w:val="00E12240"/>
    <w:rsid w:val="00E1286C"/>
    <w:rsid w:val="00E137F0"/>
    <w:rsid w:val="00E13837"/>
    <w:rsid w:val="00E13CA8"/>
    <w:rsid w:val="00E13F92"/>
    <w:rsid w:val="00E145CE"/>
    <w:rsid w:val="00E20FF2"/>
    <w:rsid w:val="00E237C2"/>
    <w:rsid w:val="00E258AB"/>
    <w:rsid w:val="00E25FD4"/>
    <w:rsid w:val="00E3132D"/>
    <w:rsid w:val="00E4242C"/>
    <w:rsid w:val="00E50EDF"/>
    <w:rsid w:val="00E51563"/>
    <w:rsid w:val="00E5427F"/>
    <w:rsid w:val="00E6105E"/>
    <w:rsid w:val="00E61FBA"/>
    <w:rsid w:val="00E6343B"/>
    <w:rsid w:val="00E63950"/>
    <w:rsid w:val="00E63C7F"/>
    <w:rsid w:val="00E65508"/>
    <w:rsid w:val="00E733E9"/>
    <w:rsid w:val="00E80B52"/>
    <w:rsid w:val="00E87364"/>
    <w:rsid w:val="00E90AD6"/>
    <w:rsid w:val="00E91237"/>
    <w:rsid w:val="00E92403"/>
    <w:rsid w:val="00E9354D"/>
    <w:rsid w:val="00E94C3F"/>
    <w:rsid w:val="00E97B2D"/>
    <w:rsid w:val="00E97F25"/>
    <w:rsid w:val="00EA111B"/>
    <w:rsid w:val="00EA37D1"/>
    <w:rsid w:val="00EA38A0"/>
    <w:rsid w:val="00EB2F53"/>
    <w:rsid w:val="00EB34D9"/>
    <w:rsid w:val="00EB51BB"/>
    <w:rsid w:val="00EB5582"/>
    <w:rsid w:val="00EC1DD0"/>
    <w:rsid w:val="00EC441F"/>
    <w:rsid w:val="00EC6271"/>
    <w:rsid w:val="00EC71B5"/>
    <w:rsid w:val="00EC756A"/>
    <w:rsid w:val="00EC79A5"/>
    <w:rsid w:val="00ED04A8"/>
    <w:rsid w:val="00ED2ECF"/>
    <w:rsid w:val="00ED321D"/>
    <w:rsid w:val="00ED43FA"/>
    <w:rsid w:val="00EE06F3"/>
    <w:rsid w:val="00EE0D64"/>
    <w:rsid w:val="00EE16EA"/>
    <w:rsid w:val="00EF0168"/>
    <w:rsid w:val="00EF0BF4"/>
    <w:rsid w:val="00EF344A"/>
    <w:rsid w:val="00EF3B61"/>
    <w:rsid w:val="00EF7B02"/>
    <w:rsid w:val="00F0147E"/>
    <w:rsid w:val="00F01551"/>
    <w:rsid w:val="00F04D4A"/>
    <w:rsid w:val="00F10560"/>
    <w:rsid w:val="00F10EBF"/>
    <w:rsid w:val="00F110A0"/>
    <w:rsid w:val="00F201CC"/>
    <w:rsid w:val="00F2098D"/>
    <w:rsid w:val="00F22D76"/>
    <w:rsid w:val="00F23CDC"/>
    <w:rsid w:val="00F25307"/>
    <w:rsid w:val="00F261DF"/>
    <w:rsid w:val="00F31CFA"/>
    <w:rsid w:val="00F31DDF"/>
    <w:rsid w:val="00F332D8"/>
    <w:rsid w:val="00F363D4"/>
    <w:rsid w:val="00F369B0"/>
    <w:rsid w:val="00F42555"/>
    <w:rsid w:val="00F43FB5"/>
    <w:rsid w:val="00F45B5D"/>
    <w:rsid w:val="00F51098"/>
    <w:rsid w:val="00F55591"/>
    <w:rsid w:val="00F5602A"/>
    <w:rsid w:val="00F56145"/>
    <w:rsid w:val="00F6013E"/>
    <w:rsid w:val="00F6094A"/>
    <w:rsid w:val="00F612B4"/>
    <w:rsid w:val="00F61D3A"/>
    <w:rsid w:val="00F6233E"/>
    <w:rsid w:val="00F64FCB"/>
    <w:rsid w:val="00F6502C"/>
    <w:rsid w:val="00F741AD"/>
    <w:rsid w:val="00F74E62"/>
    <w:rsid w:val="00F757B0"/>
    <w:rsid w:val="00F863BD"/>
    <w:rsid w:val="00F86D25"/>
    <w:rsid w:val="00F873ED"/>
    <w:rsid w:val="00F93630"/>
    <w:rsid w:val="00F9396C"/>
    <w:rsid w:val="00F95C24"/>
    <w:rsid w:val="00F95FE5"/>
    <w:rsid w:val="00F96B79"/>
    <w:rsid w:val="00FA3083"/>
    <w:rsid w:val="00FA3D50"/>
    <w:rsid w:val="00FA449A"/>
    <w:rsid w:val="00FA58B1"/>
    <w:rsid w:val="00FA7A33"/>
    <w:rsid w:val="00FB0997"/>
    <w:rsid w:val="00FB4CA3"/>
    <w:rsid w:val="00FB5A2A"/>
    <w:rsid w:val="00FC5C81"/>
    <w:rsid w:val="00FC5D96"/>
    <w:rsid w:val="00FD0A63"/>
    <w:rsid w:val="00FD145E"/>
    <w:rsid w:val="00FD3545"/>
    <w:rsid w:val="00FE110C"/>
    <w:rsid w:val="00FF09C7"/>
    <w:rsid w:val="00FF1A13"/>
    <w:rsid w:val="00FF2436"/>
    <w:rsid w:val="00FF2E96"/>
    <w:rsid w:val="00FF4BBE"/>
    <w:rsid w:val="00FF755E"/>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34145"/>
    <o:shapelayout v:ext="edit">
      <o:idmap v:ext="edit" data="1"/>
    </o:shapelayout>
  </w:shapeDefaults>
  <w:decimalSymbol w:val="."/>
  <w:listSeparator w:val=","/>
  <w14:docId w14:val="2C7DC818"/>
  <w15:docId w15:val="{38A29887-CF53-4465-B9C7-EFCA438A02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EastAsia" w:hAnsi="Arial" w:cs="Times New Roman"/>
        <w:lang w:val="en-GB"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qFormat="1"/>
    <w:lsdException w:name="heading 4"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7E55"/>
    <w:pPr>
      <w:spacing w:after="180"/>
    </w:pPr>
    <w:rPr>
      <w:rFonts w:asciiTheme="minorHAnsi" w:hAnsiTheme="minorHAnsi"/>
      <w:sz w:val="22"/>
    </w:rPr>
  </w:style>
  <w:style w:type="paragraph" w:styleId="Heading1">
    <w:name w:val="heading 1"/>
    <w:basedOn w:val="Normal"/>
    <w:next w:val="Normal"/>
    <w:link w:val="Heading1Char"/>
    <w:uiPriority w:val="9"/>
    <w:qFormat/>
    <w:rsid w:val="00424F1F"/>
    <w:pPr>
      <w:keepNext/>
      <w:keepLines/>
      <w:pageBreakBefore/>
      <w:numPr>
        <w:numId w:val="5"/>
      </w:numPr>
      <w:tabs>
        <w:tab w:val="left" w:pos="680"/>
      </w:tabs>
      <w:spacing w:after="120" w:line="340" w:lineRule="atLeast"/>
      <w:outlineLvl w:val="0"/>
    </w:pPr>
    <w:rPr>
      <w:rFonts w:eastAsiaTheme="majorEastAsia" w:cstheme="majorBidi"/>
      <w:b/>
      <w:bCs/>
      <w:color w:val="008C9B" w:themeColor="text2"/>
      <w:sz w:val="44"/>
      <w:szCs w:val="28"/>
    </w:rPr>
  </w:style>
  <w:style w:type="paragraph" w:styleId="Heading2">
    <w:name w:val="heading 2"/>
    <w:basedOn w:val="Normal"/>
    <w:next w:val="Normal"/>
    <w:link w:val="Heading2Char"/>
    <w:uiPriority w:val="9"/>
    <w:qFormat/>
    <w:rsid w:val="00F6094A"/>
    <w:pPr>
      <w:keepNext/>
      <w:keepLines/>
      <w:numPr>
        <w:ilvl w:val="1"/>
        <w:numId w:val="5"/>
      </w:numPr>
      <w:tabs>
        <w:tab w:val="left" w:pos="680"/>
      </w:tabs>
      <w:spacing w:after="120" w:line="340" w:lineRule="atLeast"/>
      <w:outlineLvl w:val="1"/>
    </w:pPr>
    <w:rPr>
      <w:rFonts w:eastAsiaTheme="majorEastAsia" w:cstheme="majorBidi"/>
      <w:b/>
      <w:bCs/>
      <w:color w:val="7F7F7F" w:themeColor="text1" w:themeTint="80"/>
      <w:sz w:val="28"/>
      <w:szCs w:val="26"/>
    </w:rPr>
  </w:style>
  <w:style w:type="paragraph" w:styleId="Heading3">
    <w:name w:val="heading 3"/>
    <w:basedOn w:val="Normal"/>
    <w:next w:val="Normal"/>
    <w:link w:val="Heading3Char"/>
    <w:uiPriority w:val="9"/>
    <w:qFormat/>
    <w:rsid w:val="00171DB7"/>
    <w:pPr>
      <w:keepNext/>
      <w:keepLines/>
      <w:spacing w:line="340" w:lineRule="atLeast"/>
      <w:outlineLvl w:val="2"/>
    </w:pPr>
    <w:rPr>
      <w:rFonts w:asciiTheme="majorHAnsi" w:eastAsiaTheme="majorEastAsia" w:hAnsiTheme="majorHAnsi" w:cstheme="majorBidi"/>
      <w:b/>
      <w:bCs/>
      <w:color w:val="000000" w:themeColor="text1"/>
      <w:sz w:val="24"/>
    </w:rPr>
  </w:style>
  <w:style w:type="paragraph" w:styleId="Heading4">
    <w:name w:val="heading 4"/>
    <w:basedOn w:val="Normal"/>
    <w:next w:val="Normal"/>
    <w:link w:val="Heading4Char"/>
    <w:uiPriority w:val="9"/>
    <w:qFormat/>
    <w:rsid w:val="00171DB7"/>
    <w:pPr>
      <w:keepNext/>
      <w:keepLines/>
      <w:spacing w:line="320" w:lineRule="atLeast"/>
      <w:outlineLvl w:val="3"/>
    </w:pPr>
    <w:rPr>
      <w:rFonts w:asciiTheme="majorHAnsi" w:eastAsiaTheme="majorEastAsia" w:hAnsiTheme="majorHAnsi" w:cstheme="majorBidi"/>
      <w:bCs/>
      <w:iCs/>
      <w:color w:val="7F7F7F" w:themeColor="text1" w:themeTint="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4F1F"/>
    <w:rPr>
      <w:rFonts w:asciiTheme="minorHAnsi" w:eastAsiaTheme="majorEastAsia" w:hAnsiTheme="minorHAnsi" w:cstheme="majorBidi"/>
      <w:b/>
      <w:bCs/>
      <w:color w:val="008C9B" w:themeColor="text2"/>
      <w:sz w:val="44"/>
      <w:szCs w:val="28"/>
    </w:rPr>
  </w:style>
  <w:style w:type="character" w:customStyle="1" w:styleId="Heading2Char">
    <w:name w:val="Heading 2 Char"/>
    <w:basedOn w:val="DefaultParagraphFont"/>
    <w:link w:val="Heading2"/>
    <w:uiPriority w:val="9"/>
    <w:rsid w:val="00F6094A"/>
    <w:rPr>
      <w:rFonts w:asciiTheme="minorHAnsi" w:eastAsiaTheme="majorEastAsia" w:hAnsiTheme="minorHAnsi" w:cstheme="majorBidi"/>
      <w:b/>
      <w:bCs/>
      <w:color w:val="7F7F7F" w:themeColor="text1" w:themeTint="80"/>
      <w:sz w:val="28"/>
      <w:szCs w:val="26"/>
    </w:rPr>
  </w:style>
  <w:style w:type="paragraph" w:styleId="Header">
    <w:name w:val="header"/>
    <w:basedOn w:val="Normal"/>
    <w:link w:val="HeaderChar"/>
    <w:uiPriority w:val="99"/>
    <w:unhideWhenUsed/>
    <w:rsid w:val="00CE3E75"/>
    <w:pPr>
      <w:tabs>
        <w:tab w:val="right" w:pos="10093"/>
      </w:tabs>
      <w:spacing w:line="290" w:lineRule="atLeast"/>
    </w:pPr>
    <w:rPr>
      <w:color w:val="7F7F7F" w:themeColor="text1" w:themeTint="80"/>
      <w:sz w:val="24"/>
    </w:rPr>
  </w:style>
  <w:style w:type="character" w:customStyle="1" w:styleId="HeaderChar">
    <w:name w:val="Header Char"/>
    <w:basedOn w:val="DefaultParagraphFont"/>
    <w:link w:val="Header"/>
    <w:uiPriority w:val="99"/>
    <w:rsid w:val="00CE3E75"/>
    <w:rPr>
      <w:rFonts w:asciiTheme="minorHAnsi" w:hAnsiTheme="minorHAnsi"/>
      <w:color w:val="7F7F7F" w:themeColor="text1" w:themeTint="80"/>
      <w:sz w:val="24"/>
    </w:rPr>
  </w:style>
  <w:style w:type="paragraph" w:styleId="Footer">
    <w:name w:val="footer"/>
    <w:basedOn w:val="Normal"/>
    <w:link w:val="FooterChar"/>
    <w:uiPriority w:val="99"/>
    <w:unhideWhenUsed/>
    <w:rsid w:val="0008458B"/>
    <w:pPr>
      <w:tabs>
        <w:tab w:val="center" w:pos="4536"/>
        <w:tab w:val="right" w:pos="9072"/>
      </w:tabs>
    </w:pPr>
    <w:rPr>
      <w:color w:val="FFFFFF" w:themeColor="background1"/>
      <w:sz w:val="14"/>
    </w:rPr>
  </w:style>
  <w:style w:type="character" w:customStyle="1" w:styleId="FooterChar">
    <w:name w:val="Footer Char"/>
    <w:basedOn w:val="DefaultParagraphFont"/>
    <w:link w:val="Footer"/>
    <w:uiPriority w:val="99"/>
    <w:rsid w:val="0008458B"/>
    <w:rPr>
      <w:rFonts w:asciiTheme="minorHAnsi" w:hAnsiTheme="minorHAnsi"/>
      <w:color w:val="FFFFFF" w:themeColor="background1"/>
      <w:sz w:val="14"/>
    </w:rPr>
  </w:style>
  <w:style w:type="paragraph" w:styleId="ListNumber">
    <w:name w:val="List Number"/>
    <w:basedOn w:val="Normal"/>
    <w:qFormat/>
    <w:rsid w:val="00424F1F"/>
    <w:pPr>
      <w:numPr>
        <w:numId w:val="1"/>
      </w:numPr>
      <w:tabs>
        <w:tab w:val="left" w:pos="357"/>
      </w:tabs>
      <w:spacing w:line="240" w:lineRule="atLeast"/>
      <w:ind w:left="357" w:hanging="357"/>
    </w:pPr>
    <w:rPr>
      <w:rFonts w:eastAsia="Times New Roman"/>
      <w:color w:val="000000" w:themeColor="text1"/>
      <w:szCs w:val="24"/>
      <w:lang w:eastAsia="en-GB"/>
    </w:rPr>
  </w:style>
  <w:style w:type="paragraph" w:styleId="ListNumber2">
    <w:name w:val="List Number 2"/>
    <w:basedOn w:val="ListNumber"/>
    <w:uiPriority w:val="99"/>
    <w:qFormat/>
    <w:rsid w:val="00622975"/>
    <w:pPr>
      <w:numPr>
        <w:numId w:val="7"/>
      </w:numPr>
      <w:tabs>
        <w:tab w:val="clear" w:pos="357"/>
        <w:tab w:val="left" w:pos="714"/>
      </w:tabs>
      <w:ind w:left="714" w:hanging="357"/>
    </w:pPr>
  </w:style>
  <w:style w:type="paragraph" w:styleId="BalloonText">
    <w:name w:val="Balloon Text"/>
    <w:basedOn w:val="Normal"/>
    <w:link w:val="BalloonTextChar"/>
    <w:uiPriority w:val="99"/>
    <w:semiHidden/>
    <w:rsid w:val="007E4A50"/>
    <w:rPr>
      <w:rFonts w:ascii="Tahoma" w:hAnsi="Tahoma" w:cs="Tahoma"/>
      <w:sz w:val="16"/>
      <w:szCs w:val="16"/>
    </w:rPr>
  </w:style>
  <w:style w:type="character" w:customStyle="1" w:styleId="BalloonTextChar">
    <w:name w:val="Balloon Text Char"/>
    <w:basedOn w:val="DefaultParagraphFont"/>
    <w:link w:val="BalloonText"/>
    <w:uiPriority w:val="99"/>
    <w:semiHidden/>
    <w:rsid w:val="007E4A50"/>
    <w:rPr>
      <w:rFonts w:ascii="Tahoma" w:hAnsi="Tahoma" w:cs="Tahoma"/>
      <w:color w:val="EEECE1" w:themeColor="background2"/>
      <w:sz w:val="16"/>
      <w:szCs w:val="16"/>
    </w:rPr>
  </w:style>
  <w:style w:type="table" w:styleId="TableGrid">
    <w:name w:val="Table Grid"/>
    <w:basedOn w:val="TableNormal"/>
    <w:uiPriority w:val="59"/>
    <w:rsid w:val="007E4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A50"/>
    <w:rPr>
      <w:color w:val="808080"/>
    </w:rPr>
  </w:style>
  <w:style w:type="paragraph" w:styleId="ListParagraph">
    <w:name w:val="List Paragraph"/>
    <w:aliases w:val="Dot pt,List Paragraph1,Colorful List - Accent 11,No Spacing1,List Paragraph Char Char Char,Indicator Text,Numbered Para 1,Bullet 1,F5 List Paragraph,Bullet Points,List Paragraph2,MAIN CONTENT,List Paragraph12,OBC Bullet,List Paragraph11"/>
    <w:basedOn w:val="Normal"/>
    <w:link w:val="ListParagraphChar"/>
    <w:uiPriority w:val="34"/>
    <w:qFormat/>
    <w:rsid w:val="007E4A50"/>
    <w:pPr>
      <w:ind w:left="720"/>
      <w:contextualSpacing/>
    </w:pPr>
  </w:style>
  <w:style w:type="paragraph" w:styleId="ListBullet">
    <w:name w:val="List Bullet"/>
    <w:basedOn w:val="Normal"/>
    <w:uiPriority w:val="99"/>
    <w:qFormat/>
    <w:rsid w:val="00424F1F"/>
    <w:pPr>
      <w:numPr>
        <w:numId w:val="2"/>
      </w:numPr>
      <w:tabs>
        <w:tab w:val="left" w:pos="357"/>
      </w:tabs>
    </w:pPr>
  </w:style>
  <w:style w:type="paragraph" w:customStyle="1" w:styleId="Documenttitle">
    <w:name w:val="Document title"/>
    <w:next w:val="Documentsubtitle"/>
    <w:qFormat/>
    <w:rsid w:val="00F757B0"/>
    <w:pPr>
      <w:spacing w:after="60" w:line="720" w:lineRule="atLeast"/>
    </w:pPr>
    <w:rPr>
      <w:rFonts w:asciiTheme="minorHAnsi" w:hAnsiTheme="minorHAnsi"/>
      <w:b/>
      <w:color w:val="008C9B" w:themeColor="text2"/>
      <w:sz w:val="60"/>
    </w:rPr>
  </w:style>
  <w:style w:type="paragraph" w:customStyle="1" w:styleId="Documentsubtitle">
    <w:name w:val="Document subtitle"/>
    <w:next w:val="Documentoutline"/>
    <w:qFormat/>
    <w:rsid w:val="00F757B0"/>
    <w:pPr>
      <w:spacing w:after="120" w:line="480" w:lineRule="atLeast"/>
    </w:pPr>
    <w:rPr>
      <w:rFonts w:asciiTheme="minorHAnsi" w:hAnsiTheme="minorHAnsi"/>
      <w:sz w:val="40"/>
    </w:rPr>
  </w:style>
  <w:style w:type="paragraph" w:customStyle="1" w:styleId="Documentoutline">
    <w:name w:val="Document outline"/>
    <w:next w:val="Normal"/>
    <w:qFormat/>
    <w:rsid w:val="000C6F1C"/>
    <w:pPr>
      <w:spacing w:line="340" w:lineRule="atLeast"/>
    </w:pPr>
    <w:rPr>
      <w:rFonts w:asciiTheme="minorHAnsi" w:hAnsiTheme="minorHAnsi"/>
      <w:sz w:val="28"/>
    </w:rPr>
  </w:style>
  <w:style w:type="paragraph" w:customStyle="1" w:styleId="Disclaimer">
    <w:name w:val="Disclaimer"/>
    <w:basedOn w:val="Normal"/>
    <w:qFormat/>
    <w:rsid w:val="007A2119"/>
    <w:pPr>
      <w:spacing w:after="80" w:line="240" w:lineRule="atLeast"/>
    </w:pPr>
    <w:rPr>
      <w:sz w:val="18"/>
    </w:rPr>
  </w:style>
  <w:style w:type="paragraph" w:customStyle="1" w:styleId="Sectiontitle">
    <w:name w:val="Section title"/>
    <w:basedOn w:val="Normal"/>
    <w:next w:val="Normal"/>
    <w:qFormat/>
    <w:rsid w:val="00AC32B6"/>
    <w:pPr>
      <w:pageBreakBefore/>
      <w:spacing w:after="360" w:line="530" w:lineRule="atLeast"/>
    </w:pPr>
    <w:rPr>
      <w:b/>
      <w:color w:val="008C9B" w:themeColor="text2"/>
      <w:sz w:val="44"/>
    </w:rPr>
  </w:style>
  <w:style w:type="paragraph" w:customStyle="1" w:styleId="Subsectiontitle">
    <w:name w:val="Subsection title"/>
    <w:basedOn w:val="Normal"/>
    <w:next w:val="Normal"/>
    <w:qFormat/>
    <w:rsid w:val="00B44CD4"/>
    <w:pPr>
      <w:spacing w:after="120" w:line="340" w:lineRule="atLeast"/>
    </w:pPr>
    <w:rPr>
      <w:color w:val="7F7F7F" w:themeColor="text1" w:themeTint="80"/>
      <w:sz w:val="28"/>
    </w:rPr>
  </w:style>
  <w:style w:type="numbering" w:customStyle="1" w:styleId="Cebrlist">
    <w:name w:val="Cebr list"/>
    <w:uiPriority w:val="99"/>
    <w:rsid w:val="00F6094A"/>
    <w:pPr>
      <w:numPr>
        <w:numId w:val="4"/>
      </w:numPr>
    </w:pPr>
  </w:style>
  <w:style w:type="character" w:customStyle="1" w:styleId="Heading3Char">
    <w:name w:val="Heading 3 Char"/>
    <w:basedOn w:val="DefaultParagraphFont"/>
    <w:link w:val="Heading3"/>
    <w:uiPriority w:val="9"/>
    <w:rsid w:val="00171DB7"/>
    <w:rPr>
      <w:rFonts w:asciiTheme="majorHAnsi" w:eastAsiaTheme="majorEastAsia" w:hAnsiTheme="majorHAnsi" w:cstheme="majorBidi"/>
      <w:b/>
      <w:bCs/>
      <w:color w:val="000000" w:themeColor="text1"/>
      <w:sz w:val="24"/>
    </w:rPr>
  </w:style>
  <w:style w:type="paragraph" w:styleId="TOC1">
    <w:name w:val="toc 1"/>
    <w:basedOn w:val="Normal"/>
    <w:next w:val="Normal"/>
    <w:autoRedefine/>
    <w:uiPriority w:val="39"/>
    <w:rsid w:val="006D2C9C"/>
    <w:pPr>
      <w:tabs>
        <w:tab w:val="right" w:pos="9402"/>
      </w:tabs>
      <w:spacing w:before="160" w:line="320" w:lineRule="atLeast"/>
    </w:pPr>
    <w:rPr>
      <w:b/>
      <w:color w:val="000000" w:themeColor="text1"/>
      <w:sz w:val="24"/>
    </w:rPr>
  </w:style>
  <w:style w:type="paragraph" w:styleId="TOC2">
    <w:name w:val="toc 2"/>
    <w:basedOn w:val="Normal"/>
    <w:next w:val="Normal"/>
    <w:autoRedefine/>
    <w:uiPriority w:val="39"/>
    <w:rsid w:val="00207BC4"/>
    <w:pPr>
      <w:tabs>
        <w:tab w:val="right" w:pos="9402"/>
      </w:tabs>
      <w:spacing w:before="40" w:line="320" w:lineRule="atLeast"/>
    </w:pPr>
    <w:rPr>
      <w:sz w:val="24"/>
    </w:rPr>
  </w:style>
  <w:style w:type="paragraph" w:styleId="TOC3">
    <w:name w:val="toc 3"/>
    <w:basedOn w:val="Normal"/>
    <w:next w:val="Normal"/>
    <w:autoRedefine/>
    <w:uiPriority w:val="39"/>
    <w:rsid w:val="006D2C9C"/>
    <w:pPr>
      <w:tabs>
        <w:tab w:val="left" w:pos="567"/>
        <w:tab w:val="right" w:pos="9402"/>
      </w:tabs>
      <w:spacing w:before="160" w:line="320" w:lineRule="atLeast"/>
      <w:ind w:left="567" w:hanging="567"/>
    </w:pPr>
    <w:rPr>
      <w:b/>
      <w:sz w:val="24"/>
    </w:rPr>
  </w:style>
  <w:style w:type="paragraph" w:styleId="TOC4">
    <w:name w:val="toc 4"/>
    <w:basedOn w:val="Normal"/>
    <w:next w:val="Normal"/>
    <w:autoRedefine/>
    <w:uiPriority w:val="39"/>
    <w:rsid w:val="00082251"/>
    <w:pPr>
      <w:tabs>
        <w:tab w:val="left" w:pos="1134"/>
        <w:tab w:val="right" w:pos="9402"/>
      </w:tabs>
      <w:spacing w:before="40" w:after="120" w:line="320" w:lineRule="atLeast"/>
      <w:ind w:left="1134" w:hanging="567"/>
    </w:pPr>
    <w:rPr>
      <w:color w:val="000000" w:themeColor="text1"/>
      <w:sz w:val="24"/>
    </w:rPr>
  </w:style>
  <w:style w:type="character" w:styleId="Hyperlink">
    <w:name w:val="Hyperlink"/>
    <w:basedOn w:val="DefaultParagraphFont"/>
    <w:uiPriority w:val="99"/>
    <w:unhideWhenUsed/>
    <w:rsid w:val="00F6094A"/>
    <w:rPr>
      <w:color w:val="0000FF" w:themeColor="hyperlink"/>
      <w:u w:val="single"/>
    </w:rPr>
  </w:style>
  <w:style w:type="paragraph" w:styleId="FootnoteText">
    <w:name w:val="footnote text"/>
    <w:basedOn w:val="Normal"/>
    <w:link w:val="FootnoteTextChar"/>
    <w:uiPriority w:val="99"/>
    <w:unhideWhenUsed/>
    <w:rsid w:val="002519BB"/>
    <w:pPr>
      <w:spacing w:after="0"/>
    </w:pPr>
    <w:rPr>
      <w:sz w:val="18"/>
    </w:rPr>
  </w:style>
  <w:style w:type="character" w:customStyle="1" w:styleId="FootnoteTextChar">
    <w:name w:val="Footnote Text Char"/>
    <w:basedOn w:val="DefaultParagraphFont"/>
    <w:link w:val="FootnoteText"/>
    <w:uiPriority w:val="99"/>
    <w:rsid w:val="002519BB"/>
    <w:rPr>
      <w:rFonts w:asciiTheme="minorHAnsi" w:hAnsiTheme="minorHAnsi"/>
      <w:sz w:val="18"/>
    </w:rPr>
  </w:style>
  <w:style w:type="character" w:styleId="FootnoteReference">
    <w:name w:val="footnote reference"/>
    <w:aliases w:val="IER footnote"/>
    <w:basedOn w:val="DefaultParagraphFont"/>
    <w:uiPriority w:val="99"/>
    <w:unhideWhenUsed/>
    <w:rsid w:val="006C7E55"/>
    <w:rPr>
      <w:color w:val="auto"/>
      <w:position w:val="12"/>
      <w:sz w:val="16"/>
      <w:vertAlign w:val="superscript"/>
    </w:rPr>
  </w:style>
  <w:style w:type="character" w:customStyle="1" w:styleId="Heading4Char">
    <w:name w:val="Heading 4 Char"/>
    <w:basedOn w:val="DefaultParagraphFont"/>
    <w:link w:val="Heading4"/>
    <w:uiPriority w:val="9"/>
    <w:rsid w:val="00171DB7"/>
    <w:rPr>
      <w:rFonts w:asciiTheme="majorHAnsi" w:eastAsiaTheme="majorEastAsia" w:hAnsiTheme="majorHAnsi" w:cstheme="majorBidi"/>
      <w:bCs/>
      <w:iCs/>
      <w:color w:val="7F7F7F" w:themeColor="text1" w:themeTint="80"/>
      <w:sz w:val="24"/>
    </w:rPr>
  </w:style>
  <w:style w:type="paragraph" w:styleId="ListBullet2">
    <w:name w:val="List Bullet 2"/>
    <w:basedOn w:val="Normal"/>
    <w:uiPriority w:val="99"/>
    <w:qFormat/>
    <w:rsid w:val="00424F1F"/>
    <w:pPr>
      <w:numPr>
        <w:numId w:val="3"/>
      </w:numPr>
      <w:tabs>
        <w:tab w:val="left" w:pos="714"/>
      </w:tabs>
      <w:ind w:left="714" w:hanging="357"/>
    </w:pPr>
  </w:style>
  <w:style w:type="paragraph" w:customStyle="1" w:styleId="Contentstitle">
    <w:name w:val="Contents title"/>
    <w:basedOn w:val="Sectiontitle"/>
    <w:next w:val="Normal"/>
    <w:qFormat/>
    <w:rsid w:val="00D43EC4"/>
  </w:style>
  <w:style w:type="paragraph" w:styleId="ListBullet3">
    <w:name w:val="List Bullet 3"/>
    <w:basedOn w:val="Normal"/>
    <w:uiPriority w:val="99"/>
    <w:semiHidden/>
    <w:unhideWhenUsed/>
    <w:rsid w:val="00D64D35"/>
    <w:pPr>
      <w:numPr>
        <w:numId w:val="6"/>
      </w:numPr>
      <w:ind w:left="924" w:hanging="357"/>
      <w:contextualSpacing/>
    </w:pPr>
  </w:style>
  <w:style w:type="paragraph" w:styleId="Caption">
    <w:name w:val="caption"/>
    <w:basedOn w:val="Normal"/>
    <w:next w:val="Normal"/>
    <w:uiPriority w:val="35"/>
    <w:unhideWhenUsed/>
    <w:qFormat/>
    <w:rsid w:val="00F56145"/>
    <w:pPr>
      <w:spacing w:after="200"/>
    </w:pPr>
    <w:rPr>
      <w:i/>
      <w:iCs/>
      <w:color w:val="008C9B" w:themeColor="text2"/>
      <w:sz w:val="18"/>
      <w:szCs w:val="18"/>
    </w:rPr>
  </w:style>
  <w:style w:type="character" w:styleId="CommentReference">
    <w:name w:val="annotation reference"/>
    <w:basedOn w:val="DefaultParagraphFont"/>
    <w:uiPriority w:val="99"/>
    <w:semiHidden/>
    <w:unhideWhenUsed/>
    <w:rsid w:val="00765741"/>
    <w:rPr>
      <w:sz w:val="16"/>
      <w:szCs w:val="16"/>
    </w:rPr>
  </w:style>
  <w:style w:type="paragraph" w:styleId="CommentText">
    <w:name w:val="annotation text"/>
    <w:basedOn w:val="Normal"/>
    <w:link w:val="CommentTextChar"/>
    <w:uiPriority w:val="99"/>
    <w:semiHidden/>
    <w:unhideWhenUsed/>
    <w:rsid w:val="00765741"/>
    <w:rPr>
      <w:sz w:val="20"/>
    </w:rPr>
  </w:style>
  <w:style w:type="character" w:customStyle="1" w:styleId="CommentTextChar">
    <w:name w:val="Comment Text Char"/>
    <w:basedOn w:val="DefaultParagraphFont"/>
    <w:link w:val="CommentText"/>
    <w:uiPriority w:val="99"/>
    <w:semiHidden/>
    <w:rsid w:val="00765741"/>
    <w:rPr>
      <w:rFonts w:asciiTheme="minorHAnsi" w:hAnsiTheme="minorHAnsi"/>
    </w:rPr>
  </w:style>
  <w:style w:type="paragraph" w:styleId="CommentSubject">
    <w:name w:val="annotation subject"/>
    <w:basedOn w:val="CommentText"/>
    <w:next w:val="CommentText"/>
    <w:link w:val="CommentSubjectChar"/>
    <w:uiPriority w:val="99"/>
    <w:semiHidden/>
    <w:unhideWhenUsed/>
    <w:rsid w:val="00765741"/>
    <w:rPr>
      <w:b/>
      <w:bCs/>
    </w:rPr>
  </w:style>
  <w:style w:type="character" w:customStyle="1" w:styleId="CommentSubjectChar">
    <w:name w:val="Comment Subject Char"/>
    <w:basedOn w:val="CommentTextChar"/>
    <w:link w:val="CommentSubject"/>
    <w:uiPriority w:val="99"/>
    <w:semiHidden/>
    <w:rsid w:val="00765741"/>
    <w:rPr>
      <w:rFonts w:asciiTheme="minorHAnsi" w:hAnsiTheme="minorHAnsi"/>
      <w:b/>
      <w:bCs/>
    </w:rPr>
  </w:style>
  <w:style w:type="character" w:styleId="FollowedHyperlink">
    <w:name w:val="FollowedHyperlink"/>
    <w:basedOn w:val="DefaultParagraphFont"/>
    <w:uiPriority w:val="99"/>
    <w:semiHidden/>
    <w:unhideWhenUsed/>
    <w:rsid w:val="00DD6F1F"/>
    <w:rPr>
      <w:color w:val="954F72"/>
      <w:u w:val="single"/>
    </w:rPr>
  </w:style>
  <w:style w:type="paragraph" w:customStyle="1" w:styleId="xl66">
    <w:name w:val="xl66"/>
    <w:basedOn w:val="Normal"/>
    <w:rsid w:val="00DD6F1F"/>
    <w:pPr>
      <w:pBdr>
        <w:top w:val="single" w:sz="4" w:space="0" w:color="auto"/>
        <w:left w:val="single" w:sz="4" w:space="0" w:color="auto"/>
        <w:bottom w:val="single" w:sz="4" w:space="0" w:color="auto"/>
        <w:right w:val="single" w:sz="4" w:space="0" w:color="auto"/>
      </w:pBdr>
      <w:shd w:val="clear" w:color="000000" w:fill="1F4E78"/>
      <w:spacing w:before="100" w:beforeAutospacing="1" w:after="100" w:afterAutospacing="1"/>
      <w:textAlignment w:val="center"/>
    </w:pPr>
    <w:rPr>
      <w:rFonts w:ascii="Times New Roman" w:eastAsia="Times New Roman" w:hAnsi="Times New Roman"/>
      <w:color w:val="FFFFFF"/>
      <w:sz w:val="20"/>
      <w:lang w:eastAsia="en-GB"/>
    </w:rPr>
  </w:style>
  <w:style w:type="paragraph" w:customStyle="1" w:styleId="xl67">
    <w:name w:val="xl67"/>
    <w:basedOn w:val="Normal"/>
    <w:rsid w:val="00DD6F1F"/>
    <w:pPr>
      <w:pBdr>
        <w:top w:val="single" w:sz="4" w:space="0" w:color="auto"/>
        <w:left w:val="single" w:sz="4" w:space="0" w:color="auto"/>
        <w:bottom w:val="single" w:sz="4" w:space="0" w:color="auto"/>
        <w:right w:val="single" w:sz="4" w:space="0" w:color="auto"/>
      </w:pBdr>
      <w:shd w:val="clear" w:color="000000" w:fill="92CDDC"/>
      <w:spacing w:before="100" w:beforeAutospacing="1" w:after="100" w:afterAutospacing="1"/>
      <w:textAlignment w:val="center"/>
    </w:pPr>
    <w:rPr>
      <w:rFonts w:ascii="Times New Roman" w:eastAsia="Times New Roman" w:hAnsi="Times New Roman"/>
      <w:sz w:val="20"/>
      <w:lang w:eastAsia="en-GB"/>
    </w:rPr>
  </w:style>
  <w:style w:type="character" w:styleId="SubtleEmphasis">
    <w:name w:val="Subtle Emphasis"/>
    <w:basedOn w:val="DefaultParagraphFont"/>
    <w:uiPriority w:val="19"/>
    <w:qFormat/>
    <w:rsid w:val="009A1743"/>
    <w:rPr>
      <w:i/>
      <w:iCs/>
      <w:color w:val="404040" w:themeColor="text1" w:themeTint="BF"/>
    </w:rPr>
  </w:style>
  <w:style w:type="character" w:customStyle="1" w:styleId="ListParagraphChar">
    <w:name w:val="List Paragraph Char"/>
    <w:aliases w:val="Dot pt Char,List Paragraph1 Char,Colorful List - Accent 11 Char,No Spacing1 Char,List Paragraph Char Char Char Char,Indicator Text Char,Numbered Para 1 Char,Bullet 1 Char,F5 List Paragraph Char,Bullet Points Char,List Paragraph2 Char"/>
    <w:link w:val="ListParagraph"/>
    <w:uiPriority w:val="34"/>
    <w:locked/>
    <w:rsid w:val="00607188"/>
    <w:rPr>
      <w:rFonts w:asciiTheme="minorHAnsi" w:hAnsiTheme="minorHAnsi"/>
      <w:sz w:val="22"/>
    </w:rPr>
  </w:style>
  <w:style w:type="table" w:customStyle="1" w:styleId="TableGrid1">
    <w:name w:val="Table Grid1"/>
    <w:basedOn w:val="TableNormal"/>
    <w:next w:val="TableGrid"/>
    <w:uiPriority w:val="59"/>
    <w:rsid w:val="00607188"/>
    <w:rPr>
      <w:rFonts w:eastAsia="Microsoft JhengHei"/>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97D79"/>
    <w:pPr>
      <w:spacing w:before="100" w:beforeAutospacing="1" w:after="100" w:afterAutospacing="1"/>
    </w:pPr>
    <w:rPr>
      <w:rFonts w:ascii="Times New Roman" w:hAnsi="Times New Roman"/>
      <w:sz w:val="24"/>
      <w:szCs w:val="24"/>
      <w:lang w:eastAsia="en-GB"/>
    </w:rPr>
  </w:style>
  <w:style w:type="character" w:customStyle="1" w:styleId="Hyperlink1">
    <w:name w:val="Hyperlink1"/>
    <w:basedOn w:val="DefaultParagraphFont"/>
    <w:uiPriority w:val="99"/>
    <w:unhideWhenUsed/>
    <w:rsid w:val="000032D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101573">
      <w:bodyDiv w:val="1"/>
      <w:marLeft w:val="0"/>
      <w:marRight w:val="0"/>
      <w:marTop w:val="0"/>
      <w:marBottom w:val="0"/>
      <w:divBdr>
        <w:top w:val="none" w:sz="0" w:space="0" w:color="auto"/>
        <w:left w:val="none" w:sz="0" w:space="0" w:color="auto"/>
        <w:bottom w:val="none" w:sz="0" w:space="0" w:color="auto"/>
        <w:right w:val="none" w:sz="0" w:space="0" w:color="auto"/>
      </w:divBdr>
    </w:div>
    <w:div w:id="48388118">
      <w:bodyDiv w:val="1"/>
      <w:marLeft w:val="0"/>
      <w:marRight w:val="0"/>
      <w:marTop w:val="0"/>
      <w:marBottom w:val="0"/>
      <w:divBdr>
        <w:top w:val="none" w:sz="0" w:space="0" w:color="auto"/>
        <w:left w:val="none" w:sz="0" w:space="0" w:color="auto"/>
        <w:bottom w:val="none" w:sz="0" w:space="0" w:color="auto"/>
        <w:right w:val="none" w:sz="0" w:space="0" w:color="auto"/>
      </w:divBdr>
    </w:div>
    <w:div w:id="51200038">
      <w:bodyDiv w:val="1"/>
      <w:marLeft w:val="0"/>
      <w:marRight w:val="0"/>
      <w:marTop w:val="0"/>
      <w:marBottom w:val="0"/>
      <w:divBdr>
        <w:top w:val="none" w:sz="0" w:space="0" w:color="auto"/>
        <w:left w:val="none" w:sz="0" w:space="0" w:color="auto"/>
        <w:bottom w:val="none" w:sz="0" w:space="0" w:color="auto"/>
        <w:right w:val="none" w:sz="0" w:space="0" w:color="auto"/>
      </w:divBdr>
    </w:div>
    <w:div w:id="59598613">
      <w:bodyDiv w:val="1"/>
      <w:marLeft w:val="0"/>
      <w:marRight w:val="0"/>
      <w:marTop w:val="0"/>
      <w:marBottom w:val="0"/>
      <w:divBdr>
        <w:top w:val="none" w:sz="0" w:space="0" w:color="auto"/>
        <w:left w:val="none" w:sz="0" w:space="0" w:color="auto"/>
        <w:bottom w:val="none" w:sz="0" w:space="0" w:color="auto"/>
        <w:right w:val="none" w:sz="0" w:space="0" w:color="auto"/>
      </w:divBdr>
    </w:div>
    <w:div w:id="59986952">
      <w:bodyDiv w:val="1"/>
      <w:marLeft w:val="0"/>
      <w:marRight w:val="0"/>
      <w:marTop w:val="0"/>
      <w:marBottom w:val="0"/>
      <w:divBdr>
        <w:top w:val="none" w:sz="0" w:space="0" w:color="auto"/>
        <w:left w:val="none" w:sz="0" w:space="0" w:color="auto"/>
        <w:bottom w:val="none" w:sz="0" w:space="0" w:color="auto"/>
        <w:right w:val="none" w:sz="0" w:space="0" w:color="auto"/>
      </w:divBdr>
    </w:div>
    <w:div w:id="109596810">
      <w:bodyDiv w:val="1"/>
      <w:marLeft w:val="0"/>
      <w:marRight w:val="0"/>
      <w:marTop w:val="0"/>
      <w:marBottom w:val="0"/>
      <w:divBdr>
        <w:top w:val="none" w:sz="0" w:space="0" w:color="auto"/>
        <w:left w:val="none" w:sz="0" w:space="0" w:color="auto"/>
        <w:bottom w:val="none" w:sz="0" w:space="0" w:color="auto"/>
        <w:right w:val="none" w:sz="0" w:space="0" w:color="auto"/>
      </w:divBdr>
    </w:div>
    <w:div w:id="110633023">
      <w:bodyDiv w:val="1"/>
      <w:marLeft w:val="0"/>
      <w:marRight w:val="0"/>
      <w:marTop w:val="0"/>
      <w:marBottom w:val="0"/>
      <w:divBdr>
        <w:top w:val="none" w:sz="0" w:space="0" w:color="auto"/>
        <w:left w:val="none" w:sz="0" w:space="0" w:color="auto"/>
        <w:bottom w:val="none" w:sz="0" w:space="0" w:color="auto"/>
        <w:right w:val="none" w:sz="0" w:space="0" w:color="auto"/>
      </w:divBdr>
    </w:div>
    <w:div w:id="113796465">
      <w:bodyDiv w:val="1"/>
      <w:marLeft w:val="0"/>
      <w:marRight w:val="0"/>
      <w:marTop w:val="0"/>
      <w:marBottom w:val="0"/>
      <w:divBdr>
        <w:top w:val="none" w:sz="0" w:space="0" w:color="auto"/>
        <w:left w:val="none" w:sz="0" w:space="0" w:color="auto"/>
        <w:bottom w:val="none" w:sz="0" w:space="0" w:color="auto"/>
        <w:right w:val="none" w:sz="0" w:space="0" w:color="auto"/>
      </w:divBdr>
    </w:div>
    <w:div w:id="125860386">
      <w:bodyDiv w:val="1"/>
      <w:marLeft w:val="0"/>
      <w:marRight w:val="0"/>
      <w:marTop w:val="0"/>
      <w:marBottom w:val="0"/>
      <w:divBdr>
        <w:top w:val="none" w:sz="0" w:space="0" w:color="auto"/>
        <w:left w:val="none" w:sz="0" w:space="0" w:color="auto"/>
        <w:bottom w:val="none" w:sz="0" w:space="0" w:color="auto"/>
        <w:right w:val="none" w:sz="0" w:space="0" w:color="auto"/>
      </w:divBdr>
    </w:div>
    <w:div w:id="130096153">
      <w:bodyDiv w:val="1"/>
      <w:marLeft w:val="0"/>
      <w:marRight w:val="0"/>
      <w:marTop w:val="0"/>
      <w:marBottom w:val="0"/>
      <w:divBdr>
        <w:top w:val="none" w:sz="0" w:space="0" w:color="auto"/>
        <w:left w:val="none" w:sz="0" w:space="0" w:color="auto"/>
        <w:bottom w:val="none" w:sz="0" w:space="0" w:color="auto"/>
        <w:right w:val="none" w:sz="0" w:space="0" w:color="auto"/>
      </w:divBdr>
    </w:div>
    <w:div w:id="143399768">
      <w:bodyDiv w:val="1"/>
      <w:marLeft w:val="0"/>
      <w:marRight w:val="0"/>
      <w:marTop w:val="0"/>
      <w:marBottom w:val="0"/>
      <w:divBdr>
        <w:top w:val="none" w:sz="0" w:space="0" w:color="auto"/>
        <w:left w:val="none" w:sz="0" w:space="0" w:color="auto"/>
        <w:bottom w:val="none" w:sz="0" w:space="0" w:color="auto"/>
        <w:right w:val="none" w:sz="0" w:space="0" w:color="auto"/>
      </w:divBdr>
    </w:div>
    <w:div w:id="169636973">
      <w:bodyDiv w:val="1"/>
      <w:marLeft w:val="0"/>
      <w:marRight w:val="0"/>
      <w:marTop w:val="0"/>
      <w:marBottom w:val="0"/>
      <w:divBdr>
        <w:top w:val="none" w:sz="0" w:space="0" w:color="auto"/>
        <w:left w:val="none" w:sz="0" w:space="0" w:color="auto"/>
        <w:bottom w:val="none" w:sz="0" w:space="0" w:color="auto"/>
        <w:right w:val="none" w:sz="0" w:space="0" w:color="auto"/>
      </w:divBdr>
    </w:div>
    <w:div w:id="197014862">
      <w:bodyDiv w:val="1"/>
      <w:marLeft w:val="0"/>
      <w:marRight w:val="0"/>
      <w:marTop w:val="0"/>
      <w:marBottom w:val="0"/>
      <w:divBdr>
        <w:top w:val="none" w:sz="0" w:space="0" w:color="auto"/>
        <w:left w:val="none" w:sz="0" w:space="0" w:color="auto"/>
        <w:bottom w:val="none" w:sz="0" w:space="0" w:color="auto"/>
        <w:right w:val="none" w:sz="0" w:space="0" w:color="auto"/>
      </w:divBdr>
    </w:div>
    <w:div w:id="206992768">
      <w:bodyDiv w:val="1"/>
      <w:marLeft w:val="0"/>
      <w:marRight w:val="0"/>
      <w:marTop w:val="0"/>
      <w:marBottom w:val="0"/>
      <w:divBdr>
        <w:top w:val="none" w:sz="0" w:space="0" w:color="auto"/>
        <w:left w:val="none" w:sz="0" w:space="0" w:color="auto"/>
        <w:bottom w:val="none" w:sz="0" w:space="0" w:color="auto"/>
        <w:right w:val="none" w:sz="0" w:space="0" w:color="auto"/>
      </w:divBdr>
    </w:div>
    <w:div w:id="224723410">
      <w:bodyDiv w:val="1"/>
      <w:marLeft w:val="0"/>
      <w:marRight w:val="0"/>
      <w:marTop w:val="0"/>
      <w:marBottom w:val="0"/>
      <w:divBdr>
        <w:top w:val="none" w:sz="0" w:space="0" w:color="auto"/>
        <w:left w:val="none" w:sz="0" w:space="0" w:color="auto"/>
        <w:bottom w:val="none" w:sz="0" w:space="0" w:color="auto"/>
        <w:right w:val="none" w:sz="0" w:space="0" w:color="auto"/>
      </w:divBdr>
    </w:div>
    <w:div w:id="227688711">
      <w:bodyDiv w:val="1"/>
      <w:marLeft w:val="0"/>
      <w:marRight w:val="0"/>
      <w:marTop w:val="0"/>
      <w:marBottom w:val="0"/>
      <w:divBdr>
        <w:top w:val="none" w:sz="0" w:space="0" w:color="auto"/>
        <w:left w:val="none" w:sz="0" w:space="0" w:color="auto"/>
        <w:bottom w:val="none" w:sz="0" w:space="0" w:color="auto"/>
        <w:right w:val="none" w:sz="0" w:space="0" w:color="auto"/>
      </w:divBdr>
    </w:div>
    <w:div w:id="237903665">
      <w:bodyDiv w:val="1"/>
      <w:marLeft w:val="0"/>
      <w:marRight w:val="0"/>
      <w:marTop w:val="0"/>
      <w:marBottom w:val="0"/>
      <w:divBdr>
        <w:top w:val="none" w:sz="0" w:space="0" w:color="auto"/>
        <w:left w:val="none" w:sz="0" w:space="0" w:color="auto"/>
        <w:bottom w:val="none" w:sz="0" w:space="0" w:color="auto"/>
        <w:right w:val="none" w:sz="0" w:space="0" w:color="auto"/>
      </w:divBdr>
    </w:div>
    <w:div w:id="241263495">
      <w:bodyDiv w:val="1"/>
      <w:marLeft w:val="0"/>
      <w:marRight w:val="0"/>
      <w:marTop w:val="0"/>
      <w:marBottom w:val="0"/>
      <w:divBdr>
        <w:top w:val="none" w:sz="0" w:space="0" w:color="auto"/>
        <w:left w:val="none" w:sz="0" w:space="0" w:color="auto"/>
        <w:bottom w:val="none" w:sz="0" w:space="0" w:color="auto"/>
        <w:right w:val="none" w:sz="0" w:space="0" w:color="auto"/>
      </w:divBdr>
    </w:div>
    <w:div w:id="247228367">
      <w:bodyDiv w:val="1"/>
      <w:marLeft w:val="0"/>
      <w:marRight w:val="0"/>
      <w:marTop w:val="0"/>
      <w:marBottom w:val="0"/>
      <w:divBdr>
        <w:top w:val="none" w:sz="0" w:space="0" w:color="auto"/>
        <w:left w:val="none" w:sz="0" w:space="0" w:color="auto"/>
        <w:bottom w:val="none" w:sz="0" w:space="0" w:color="auto"/>
        <w:right w:val="none" w:sz="0" w:space="0" w:color="auto"/>
      </w:divBdr>
    </w:div>
    <w:div w:id="247811633">
      <w:bodyDiv w:val="1"/>
      <w:marLeft w:val="0"/>
      <w:marRight w:val="0"/>
      <w:marTop w:val="0"/>
      <w:marBottom w:val="0"/>
      <w:divBdr>
        <w:top w:val="none" w:sz="0" w:space="0" w:color="auto"/>
        <w:left w:val="none" w:sz="0" w:space="0" w:color="auto"/>
        <w:bottom w:val="none" w:sz="0" w:space="0" w:color="auto"/>
        <w:right w:val="none" w:sz="0" w:space="0" w:color="auto"/>
      </w:divBdr>
    </w:div>
    <w:div w:id="249390984">
      <w:bodyDiv w:val="1"/>
      <w:marLeft w:val="0"/>
      <w:marRight w:val="0"/>
      <w:marTop w:val="0"/>
      <w:marBottom w:val="0"/>
      <w:divBdr>
        <w:top w:val="none" w:sz="0" w:space="0" w:color="auto"/>
        <w:left w:val="none" w:sz="0" w:space="0" w:color="auto"/>
        <w:bottom w:val="none" w:sz="0" w:space="0" w:color="auto"/>
        <w:right w:val="none" w:sz="0" w:space="0" w:color="auto"/>
      </w:divBdr>
    </w:div>
    <w:div w:id="287248035">
      <w:bodyDiv w:val="1"/>
      <w:marLeft w:val="0"/>
      <w:marRight w:val="0"/>
      <w:marTop w:val="0"/>
      <w:marBottom w:val="0"/>
      <w:divBdr>
        <w:top w:val="none" w:sz="0" w:space="0" w:color="auto"/>
        <w:left w:val="none" w:sz="0" w:space="0" w:color="auto"/>
        <w:bottom w:val="none" w:sz="0" w:space="0" w:color="auto"/>
        <w:right w:val="none" w:sz="0" w:space="0" w:color="auto"/>
      </w:divBdr>
    </w:div>
    <w:div w:id="305625299">
      <w:bodyDiv w:val="1"/>
      <w:marLeft w:val="0"/>
      <w:marRight w:val="0"/>
      <w:marTop w:val="0"/>
      <w:marBottom w:val="0"/>
      <w:divBdr>
        <w:top w:val="none" w:sz="0" w:space="0" w:color="auto"/>
        <w:left w:val="none" w:sz="0" w:space="0" w:color="auto"/>
        <w:bottom w:val="none" w:sz="0" w:space="0" w:color="auto"/>
        <w:right w:val="none" w:sz="0" w:space="0" w:color="auto"/>
      </w:divBdr>
    </w:div>
    <w:div w:id="313918728">
      <w:bodyDiv w:val="1"/>
      <w:marLeft w:val="0"/>
      <w:marRight w:val="0"/>
      <w:marTop w:val="0"/>
      <w:marBottom w:val="0"/>
      <w:divBdr>
        <w:top w:val="none" w:sz="0" w:space="0" w:color="auto"/>
        <w:left w:val="none" w:sz="0" w:space="0" w:color="auto"/>
        <w:bottom w:val="none" w:sz="0" w:space="0" w:color="auto"/>
        <w:right w:val="none" w:sz="0" w:space="0" w:color="auto"/>
      </w:divBdr>
    </w:div>
    <w:div w:id="401300113">
      <w:bodyDiv w:val="1"/>
      <w:marLeft w:val="0"/>
      <w:marRight w:val="0"/>
      <w:marTop w:val="0"/>
      <w:marBottom w:val="0"/>
      <w:divBdr>
        <w:top w:val="none" w:sz="0" w:space="0" w:color="auto"/>
        <w:left w:val="none" w:sz="0" w:space="0" w:color="auto"/>
        <w:bottom w:val="none" w:sz="0" w:space="0" w:color="auto"/>
        <w:right w:val="none" w:sz="0" w:space="0" w:color="auto"/>
      </w:divBdr>
    </w:div>
    <w:div w:id="430128494">
      <w:bodyDiv w:val="1"/>
      <w:marLeft w:val="0"/>
      <w:marRight w:val="0"/>
      <w:marTop w:val="0"/>
      <w:marBottom w:val="0"/>
      <w:divBdr>
        <w:top w:val="none" w:sz="0" w:space="0" w:color="auto"/>
        <w:left w:val="none" w:sz="0" w:space="0" w:color="auto"/>
        <w:bottom w:val="none" w:sz="0" w:space="0" w:color="auto"/>
        <w:right w:val="none" w:sz="0" w:space="0" w:color="auto"/>
      </w:divBdr>
    </w:div>
    <w:div w:id="449318903">
      <w:bodyDiv w:val="1"/>
      <w:marLeft w:val="0"/>
      <w:marRight w:val="0"/>
      <w:marTop w:val="0"/>
      <w:marBottom w:val="0"/>
      <w:divBdr>
        <w:top w:val="none" w:sz="0" w:space="0" w:color="auto"/>
        <w:left w:val="none" w:sz="0" w:space="0" w:color="auto"/>
        <w:bottom w:val="none" w:sz="0" w:space="0" w:color="auto"/>
        <w:right w:val="none" w:sz="0" w:space="0" w:color="auto"/>
      </w:divBdr>
    </w:div>
    <w:div w:id="455489286">
      <w:bodyDiv w:val="1"/>
      <w:marLeft w:val="0"/>
      <w:marRight w:val="0"/>
      <w:marTop w:val="0"/>
      <w:marBottom w:val="0"/>
      <w:divBdr>
        <w:top w:val="none" w:sz="0" w:space="0" w:color="auto"/>
        <w:left w:val="none" w:sz="0" w:space="0" w:color="auto"/>
        <w:bottom w:val="none" w:sz="0" w:space="0" w:color="auto"/>
        <w:right w:val="none" w:sz="0" w:space="0" w:color="auto"/>
      </w:divBdr>
    </w:div>
    <w:div w:id="521284671">
      <w:bodyDiv w:val="1"/>
      <w:marLeft w:val="0"/>
      <w:marRight w:val="0"/>
      <w:marTop w:val="0"/>
      <w:marBottom w:val="0"/>
      <w:divBdr>
        <w:top w:val="none" w:sz="0" w:space="0" w:color="auto"/>
        <w:left w:val="none" w:sz="0" w:space="0" w:color="auto"/>
        <w:bottom w:val="none" w:sz="0" w:space="0" w:color="auto"/>
        <w:right w:val="none" w:sz="0" w:space="0" w:color="auto"/>
      </w:divBdr>
    </w:div>
    <w:div w:id="523901471">
      <w:bodyDiv w:val="1"/>
      <w:marLeft w:val="0"/>
      <w:marRight w:val="0"/>
      <w:marTop w:val="0"/>
      <w:marBottom w:val="0"/>
      <w:divBdr>
        <w:top w:val="none" w:sz="0" w:space="0" w:color="auto"/>
        <w:left w:val="none" w:sz="0" w:space="0" w:color="auto"/>
        <w:bottom w:val="none" w:sz="0" w:space="0" w:color="auto"/>
        <w:right w:val="none" w:sz="0" w:space="0" w:color="auto"/>
      </w:divBdr>
    </w:div>
    <w:div w:id="544610666">
      <w:bodyDiv w:val="1"/>
      <w:marLeft w:val="0"/>
      <w:marRight w:val="0"/>
      <w:marTop w:val="0"/>
      <w:marBottom w:val="0"/>
      <w:divBdr>
        <w:top w:val="none" w:sz="0" w:space="0" w:color="auto"/>
        <w:left w:val="none" w:sz="0" w:space="0" w:color="auto"/>
        <w:bottom w:val="none" w:sz="0" w:space="0" w:color="auto"/>
        <w:right w:val="none" w:sz="0" w:space="0" w:color="auto"/>
      </w:divBdr>
    </w:div>
    <w:div w:id="570043053">
      <w:bodyDiv w:val="1"/>
      <w:marLeft w:val="0"/>
      <w:marRight w:val="0"/>
      <w:marTop w:val="0"/>
      <w:marBottom w:val="0"/>
      <w:divBdr>
        <w:top w:val="none" w:sz="0" w:space="0" w:color="auto"/>
        <w:left w:val="none" w:sz="0" w:space="0" w:color="auto"/>
        <w:bottom w:val="none" w:sz="0" w:space="0" w:color="auto"/>
        <w:right w:val="none" w:sz="0" w:space="0" w:color="auto"/>
      </w:divBdr>
    </w:div>
    <w:div w:id="570312463">
      <w:bodyDiv w:val="1"/>
      <w:marLeft w:val="0"/>
      <w:marRight w:val="0"/>
      <w:marTop w:val="0"/>
      <w:marBottom w:val="0"/>
      <w:divBdr>
        <w:top w:val="none" w:sz="0" w:space="0" w:color="auto"/>
        <w:left w:val="none" w:sz="0" w:space="0" w:color="auto"/>
        <w:bottom w:val="none" w:sz="0" w:space="0" w:color="auto"/>
        <w:right w:val="none" w:sz="0" w:space="0" w:color="auto"/>
      </w:divBdr>
    </w:div>
    <w:div w:id="574513010">
      <w:bodyDiv w:val="1"/>
      <w:marLeft w:val="0"/>
      <w:marRight w:val="0"/>
      <w:marTop w:val="0"/>
      <w:marBottom w:val="0"/>
      <w:divBdr>
        <w:top w:val="none" w:sz="0" w:space="0" w:color="auto"/>
        <w:left w:val="none" w:sz="0" w:space="0" w:color="auto"/>
        <w:bottom w:val="none" w:sz="0" w:space="0" w:color="auto"/>
        <w:right w:val="none" w:sz="0" w:space="0" w:color="auto"/>
      </w:divBdr>
    </w:div>
    <w:div w:id="577060014">
      <w:bodyDiv w:val="1"/>
      <w:marLeft w:val="0"/>
      <w:marRight w:val="0"/>
      <w:marTop w:val="0"/>
      <w:marBottom w:val="0"/>
      <w:divBdr>
        <w:top w:val="none" w:sz="0" w:space="0" w:color="auto"/>
        <w:left w:val="none" w:sz="0" w:space="0" w:color="auto"/>
        <w:bottom w:val="none" w:sz="0" w:space="0" w:color="auto"/>
        <w:right w:val="none" w:sz="0" w:space="0" w:color="auto"/>
      </w:divBdr>
    </w:div>
    <w:div w:id="626741558">
      <w:bodyDiv w:val="1"/>
      <w:marLeft w:val="0"/>
      <w:marRight w:val="0"/>
      <w:marTop w:val="0"/>
      <w:marBottom w:val="0"/>
      <w:divBdr>
        <w:top w:val="none" w:sz="0" w:space="0" w:color="auto"/>
        <w:left w:val="none" w:sz="0" w:space="0" w:color="auto"/>
        <w:bottom w:val="none" w:sz="0" w:space="0" w:color="auto"/>
        <w:right w:val="none" w:sz="0" w:space="0" w:color="auto"/>
      </w:divBdr>
    </w:div>
    <w:div w:id="661323853">
      <w:bodyDiv w:val="1"/>
      <w:marLeft w:val="0"/>
      <w:marRight w:val="0"/>
      <w:marTop w:val="0"/>
      <w:marBottom w:val="0"/>
      <w:divBdr>
        <w:top w:val="none" w:sz="0" w:space="0" w:color="auto"/>
        <w:left w:val="none" w:sz="0" w:space="0" w:color="auto"/>
        <w:bottom w:val="none" w:sz="0" w:space="0" w:color="auto"/>
        <w:right w:val="none" w:sz="0" w:space="0" w:color="auto"/>
      </w:divBdr>
    </w:div>
    <w:div w:id="669792195">
      <w:bodyDiv w:val="1"/>
      <w:marLeft w:val="0"/>
      <w:marRight w:val="0"/>
      <w:marTop w:val="0"/>
      <w:marBottom w:val="0"/>
      <w:divBdr>
        <w:top w:val="none" w:sz="0" w:space="0" w:color="auto"/>
        <w:left w:val="none" w:sz="0" w:space="0" w:color="auto"/>
        <w:bottom w:val="none" w:sz="0" w:space="0" w:color="auto"/>
        <w:right w:val="none" w:sz="0" w:space="0" w:color="auto"/>
      </w:divBdr>
    </w:div>
    <w:div w:id="672300269">
      <w:bodyDiv w:val="1"/>
      <w:marLeft w:val="0"/>
      <w:marRight w:val="0"/>
      <w:marTop w:val="0"/>
      <w:marBottom w:val="0"/>
      <w:divBdr>
        <w:top w:val="none" w:sz="0" w:space="0" w:color="auto"/>
        <w:left w:val="none" w:sz="0" w:space="0" w:color="auto"/>
        <w:bottom w:val="none" w:sz="0" w:space="0" w:color="auto"/>
        <w:right w:val="none" w:sz="0" w:space="0" w:color="auto"/>
      </w:divBdr>
    </w:div>
    <w:div w:id="678123106">
      <w:bodyDiv w:val="1"/>
      <w:marLeft w:val="0"/>
      <w:marRight w:val="0"/>
      <w:marTop w:val="0"/>
      <w:marBottom w:val="0"/>
      <w:divBdr>
        <w:top w:val="none" w:sz="0" w:space="0" w:color="auto"/>
        <w:left w:val="none" w:sz="0" w:space="0" w:color="auto"/>
        <w:bottom w:val="none" w:sz="0" w:space="0" w:color="auto"/>
        <w:right w:val="none" w:sz="0" w:space="0" w:color="auto"/>
      </w:divBdr>
    </w:div>
    <w:div w:id="746001643">
      <w:bodyDiv w:val="1"/>
      <w:marLeft w:val="0"/>
      <w:marRight w:val="0"/>
      <w:marTop w:val="0"/>
      <w:marBottom w:val="0"/>
      <w:divBdr>
        <w:top w:val="none" w:sz="0" w:space="0" w:color="auto"/>
        <w:left w:val="none" w:sz="0" w:space="0" w:color="auto"/>
        <w:bottom w:val="none" w:sz="0" w:space="0" w:color="auto"/>
        <w:right w:val="none" w:sz="0" w:space="0" w:color="auto"/>
      </w:divBdr>
    </w:div>
    <w:div w:id="793256947">
      <w:bodyDiv w:val="1"/>
      <w:marLeft w:val="0"/>
      <w:marRight w:val="0"/>
      <w:marTop w:val="0"/>
      <w:marBottom w:val="0"/>
      <w:divBdr>
        <w:top w:val="none" w:sz="0" w:space="0" w:color="auto"/>
        <w:left w:val="none" w:sz="0" w:space="0" w:color="auto"/>
        <w:bottom w:val="none" w:sz="0" w:space="0" w:color="auto"/>
        <w:right w:val="none" w:sz="0" w:space="0" w:color="auto"/>
      </w:divBdr>
    </w:div>
    <w:div w:id="816067996">
      <w:bodyDiv w:val="1"/>
      <w:marLeft w:val="0"/>
      <w:marRight w:val="0"/>
      <w:marTop w:val="0"/>
      <w:marBottom w:val="0"/>
      <w:divBdr>
        <w:top w:val="none" w:sz="0" w:space="0" w:color="auto"/>
        <w:left w:val="none" w:sz="0" w:space="0" w:color="auto"/>
        <w:bottom w:val="none" w:sz="0" w:space="0" w:color="auto"/>
        <w:right w:val="none" w:sz="0" w:space="0" w:color="auto"/>
      </w:divBdr>
    </w:div>
    <w:div w:id="835221988">
      <w:bodyDiv w:val="1"/>
      <w:marLeft w:val="0"/>
      <w:marRight w:val="0"/>
      <w:marTop w:val="0"/>
      <w:marBottom w:val="0"/>
      <w:divBdr>
        <w:top w:val="none" w:sz="0" w:space="0" w:color="auto"/>
        <w:left w:val="none" w:sz="0" w:space="0" w:color="auto"/>
        <w:bottom w:val="none" w:sz="0" w:space="0" w:color="auto"/>
        <w:right w:val="none" w:sz="0" w:space="0" w:color="auto"/>
      </w:divBdr>
    </w:div>
    <w:div w:id="868450236">
      <w:bodyDiv w:val="1"/>
      <w:marLeft w:val="0"/>
      <w:marRight w:val="0"/>
      <w:marTop w:val="0"/>
      <w:marBottom w:val="0"/>
      <w:divBdr>
        <w:top w:val="none" w:sz="0" w:space="0" w:color="auto"/>
        <w:left w:val="none" w:sz="0" w:space="0" w:color="auto"/>
        <w:bottom w:val="none" w:sz="0" w:space="0" w:color="auto"/>
        <w:right w:val="none" w:sz="0" w:space="0" w:color="auto"/>
      </w:divBdr>
    </w:div>
    <w:div w:id="877623395">
      <w:bodyDiv w:val="1"/>
      <w:marLeft w:val="0"/>
      <w:marRight w:val="0"/>
      <w:marTop w:val="0"/>
      <w:marBottom w:val="0"/>
      <w:divBdr>
        <w:top w:val="none" w:sz="0" w:space="0" w:color="auto"/>
        <w:left w:val="none" w:sz="0" w:space="0" w:color="auto"/>
        <w:bottom w:val="none" w:sz="0" w:space="0" w:color="auto"/>
        <w:right w:val="none" w:sz="0" w:space="0" w:color="auto"/>
      </w:divBdr>
    </w:div>
    <w:div w:id="919295890">
      <w:bodyDiv w:val="1"/>
      <w:marLeft w:val="0"/>
      <w:marRight w:val="0"/>
      <w:marTop w:val="0"/>
      <w:marBottom w:val="0"/>
      <w:divBdr>
        <w:top w:val="none" w:sz="0" w:space="0" w:color="auto"/>
        <w:left w:val="none" w:sz="0" w:space="0" w:color="auto"/>
        <w:bottom w:val="none" w:sz="0" w:space="0" w:color="auto"/>
        <w:right w:val="none" w:sz="0" w:space="0" w:color="auto"/>
      </w:divBdr>
    </w:div>
    <w:div w:id="938870887">
      <w:bodyDiv w:val="1"/>
      <w:marLeft w:val="0"/>
      <w:marRight w:val="0"/>
      <w:marTop w:val="0"/>
      <w:marBottom w:val="0"/>
      <w:divBdr>
        <w:top w:val="none" w:sz="0" w:space="0" w:color="auto"/>
        <w:left w:val="none" w:sz="0" w:space="0" w:color="auto"/>
        <w:bottom w:val="none" w:sz="0" w:space="0" w:color="auto"/>
        <w:right w:val="none" w:sz="0" w:space="0" w:color="auto"/>
      </w:divBdr>
    </w:div>
    <w:div w:id="943466161">
      <w:bodyDiv w:val="1"/>
      <w:marLeft w:val="0"/>
      <w:marRight w:val="0"/>
      <w:marTop w:val="0"/>
      <w:marBottom w:val="0"/>
      <w:divBdr>
        <w:top w:val="none" w:sz="0" w:space="0" w:color="auto"/>
        <w:left w:val="none" w:sz="0" w:space="0" w:color="auto"/>
        <w:bottom w:val="none" w:sz="0" w:space="0" w:color="auto"/>
        <w:right w:val="none" w:sz="0" w:space="0" w:color="auto"/>
      </w:divBdr>
    </w:div>
    <w:div w:id="967204596">
      <w:bodyDiv w:val="1"/>
      <w:marLeft w:val="0"/>
      <w:marRight w:val="0"/>
      <w:marTop w:val="0"/>
      <w:marBottom w:val="0"/>
      <w:divBdr>
        <w:top w:val="none" w:sz="0" w:space="0" w:color="auto"/>
        <w:left w:val="none" w:sz="0" w:space="0" w:color="auto"/>
        <w:bottom w:val="none" w:sz="0" w:space="0" w:color="auto"/>
        <w:right w:val="none" w:sz="0" w:space="0" w:color="auto"/>
      </w:divBdr>
    </w:div>
    <w:div w:id="968046647">
      <w:bodyDiv w:val="1"/>
      <w:marLeft w:val="0"/>
      <w:marRight w:val="0"/>
      <w:marTop w:val="0"/>
      <w:marBottom w:val="0"/>
      <w:divBdr>
        <w:top w:val="none" w:sz="0" w:space="0" w:color="auto"/>
        <w:left w:val="none" w:sz="0" w:space="0" w:color="auto"/>
        <w:bottom w:val="none" w:sz="0" w:space="0" w:color="auto"/>
        <w:right w:val="none" w:sz="0" w:space="0" w:color="auto"/>
      </w:divBdr>
    </w:div>
    <w:div w:id="969700832">
      <w:bodyDiv w:val="1"/>
      <w:marLeft w:val="0"/>
      <w:marRight w:val="0"/>
      <w:marTop w:val="0"/>
      <w:marBottom w:val="0"/>
      <w:divBdr>
        <w:top w:val="none" w:sz="0" w:space="0" w:color="auto"/>
        <w:left w:val="none" w:sz="0" w:space="0" w:color="auto"/>
        <w:bottom w:val="none" w:sz="0" w:space="0" w:color="auto"/>
        <w:right w:val="none" w:sz="0" w:space="0" w:color="auto"/>
      </w:divBdr>
    </w:div>
    <w:div w:id="969744748">
      <w:bodyDiv w:val="1"/>
      <w:marLeft w:val="0"/>
      <w:marRight w:val="0"/>
      <w:marTop w:val="0"/>
      <w:marBottom w:val="0"/>
      <w:divBdr>
        <w:top w:val="none" w:sz="0" w:space="0" w:color="auto"/>
        <w:left w:val="none" w:sz="0" w:space="0" w:color="auto"/>
        <w:bottom w:val="none" w:sz="0" w:space="0" w:color="auto"/>
        <w:right w:val="none" w:sz="0" w:space="0" w:color="auto"/>
      </w:divBdr>
    </w:div>
    <w:div w:id="987976540">
      <w:bodyDiv w:val="1"/>
      <w:marLeft w:val="0"/>
      <w:marRight w:val="0"/>
      <w:marTop w:val="0"/>
      <w:marBottom w:val="0"/>
      <w:divBdr>
        <w:top w:val="none" w:sz="0" w:space="0" w:color="auto"/>
        <w:left w:val="none" w:sz="0" w:space="0" w:color="auto"/>
        <w:bottom w:val="none" w:sz="0" w:space="0" w:color="auto"/>
        <w:right w:val="none" w:sz="0" w:space="0" w:color="auto"/>
      </w:divBdr>
    </w:div>
    <w:div w:id="988168724">
      <w:bodyDiv w:val="1"/>
      <w:marLeft w:val="0"/>
      <w:marRight w:val="0"/>
      <w:marTop w:val="0"/>
      <w:marBottom w:val="0"/>
      <w:divBdr>
        <w:top w:val="none" w:sz="0" w:space="0" w:color="auto"/>
        <w:left w:val="none" w:sz="0" w:space="0" w:color="auto"/>
        <w:bottom w:val="none" w:sz="0" w:space="0" w:color="auto"/>
        <w:right w:val="none" w:sz="0" w:space="0" w:color="auto"/>
      </w:divBdr>
    </w:div>
    <w:div w:id="993525880">
      <w:bodyDiv w:val="1"/>
      <w:marLeft w:val="0"/>
      <w:marRight w:val="0"/>
      <w:marTop w:val="0"/>
      <w:marBottom w:val="0"/>
      <w:divBdr>
        <w:top w:val="none" w:sz="0" w:space="0" w:color="auto"/>
        <w:left w:val="none" w:sz="0" w:space="0" w:color="auto"/>
        <w:bottom w:val="none" w:sz="0" w:space="0" w:color="auto"/>
        <w:right w:val="none" w:sz="0" w:space="0" w:color="auto"/>
      </w:divBdr>
    </w:div>
    <w:div w:id="1004936697">
      <w:bodyDiv w:val="1"/>
      <w:marLeft w:val="0"/>
      <w:marRight w:val="0"/>
      <w:marTop w:val="0"/>
      <w:marBottom w:val="0"/>
      <w:divBdr>
        <w:top w:val="none" w:sz="0" w:space="0" w:color="auto"/>
        <w:left w:val="none" w:sz="0" w:space="0" w:color="auto"/>
        <w:bottom w:val="none" w:sz="0" w:space="0" w:color="auto"/>
        <w:right w:val="none" w:sz="0" w:space="0" w:color="auto"/>
      </w:divBdr>
    </w:div>
    <w:div w:id="1030687483">
      <w:bodyDiv w:val="1"/>
      <w:marLeft w:val="0"/>
      <w:marRight w:val="0"/>
      <w:marTop w:val="0"/>
      <w:marBottom w:val="0"/>
      <w:divBdr>
        <w:top w:val="none" w:sz="0" w:space="0" w:color="auto"/>
        <w:left w:val="none" w:sz="0" w:space="0" w:color="auto"/>
        <w:bottom w:val="none" w:sz="0" w:space="0" w:color="auto"/>
        <w:right w:val="none" w:sz="0" w:space="0" w:color="auto"/>
      </w:divBdr>
    </w:div>
    <w:div w:id="1095898704">
      <w:bodyDiv w:val="1"/>
      <w:marLeft w:val="0"/>
      <w:marRight w:val="0"/>
      <w:marTop w:val="0"/>
      <w:marBottom w:val="0"/>
      <w:divBdr>
        <w:top w:val="none" w:sz="0" w:space="0" w:color="auto"/>
        <w:left w:val="none" w:sz="0" w:space="0" w:color="auto"/>
        <w:bottom w:val="none" w:sz="0" w:space="0" w:color="auto"/>
        <w:right w:val="none" w:sz="0" w:space="0" w:color="auto"/>
      </w:divBdr>
    </w:div>
    <w:div w:id="1106582466">
      <w:bodyDiv w:val="1"/>
      <w:marLeft w:val="0"/>
      <w:marRight w:val="0"/>
      <w:marTop w:val="0"/>
      <w:marBottom w:val="0"/>
      <w:divBdr>
        <w:top w:val="none" w:sz="0" w:space="0" w:color="auto"/>
        <w:left w:val="none" w:sz="0" w:space="0" w:color="auto"/>
        <w:bottom w:val="none" w:sz="0" w:space="0" w:color="auto"/>
        <w:right w:val="none" w:sz="0" w:space="0" w:color="auto"/>
      </w:divBdr>
    </w:div>
    <w:div w:id="1115515735">
      <w:bodyDiv w:val="1"/>
      <w:marLeft w:val="0"/>
      <w:marRight w:val="0"/>
      <w:marTop w:val="0"/>
      <w:marBottom w:val="0"/>
      <w:divBdr>
        <w:top w:val="none" w:sz="0" w:space="0" w:color="auto"/>
        <w:left w:val="none" w:sz="0" w:space="0" w:color="auto"/>
        <w:bottom w:val="none" w:sz="0" w:space="0" w:color="auto"/>
        <w:right w:val="none" w:sz="0" w:space="0" w:color="auto"/>
      </w:divBdr>
    </w:div>
    <w:div w:id="1130629793">
      <w:bodyDiv w:val="1"/>
      <w:marLeft w:val="0"/>
      <w:marRight w:val="0"/>
      <w:marTop w:val="0"/>
      <w:marBottom w:val="0"/>
      <w:divBdr>
        <w:top w:val="none" w:sz="0" w:space="0" w:color="auto"/>
        <w:left w:val="none" w:sz="0" w:space="0" w:color="auto"/>
        <w:bottom w:val="none" w:sz="0" w:space="0" w:color="auto"/>
        <w:right w:val="none" w:sz="0" w:space="0" w:color="auto"/>
      </w:divBdr>
    </w:div>
    <w:div w:id="1133711015">
      <w:bodyDiv w:val="1"/>
      <w:marLeft w:val="0"/>
      <w:marRight w:val="0"/>
      <w:marTop w:val="0"/>
      <w:marBottom w:val="0"/>
      <w:divBdr>
        <w:top w:val="none" w:sz="0" w:space="0" w:color="auto"/>
        <w:left w:val="none" w:sz="0" w:space="0" w:color="auto"/>
        <w:bottom w:val="none" w:sz="0" w:space="0" w:color="auto"/>
        <w:right w:val="none" w:sz="0" w:space="0" w:color="auto"/>
      </w:divBdr>
    </w:div>
    <w:div w:id="1151291249">
      <w:bodyDiv w:val="1"/>
      <w:marLeft w:val="0"/>
      <w:marRight w:val="0"/>
      <w:marTop w:val="0"/>
      <w:marBottom w:val="0"/>
      <w:divBdr>
        <w:top w:val="none" w:sz="0" w:space="0" w:color="auto"/>
        <w:left w:val="none" w:sz="0" w:space="0" w:color="auto"/>
        <w:bottom w:val="none" w:sz="0" w:space="0" w:color="auto"/>
        <w:right w:val="none" w:sz="0" w:space="0" w:color="auto"/>
      </w:divBdr>
    </w:div>
    <w:div w:id="1166092055">
      <w:bodyDiv w:val="1"/>
      <w:marLeft w:val="0"/>
      <w:marRight w:val="0"/>
      <w:marTop w:val="0"/>
      <w:marBottom w:val="0"/>
      <w:divBdr>
        <w:top w:val="none" w:sz="0" w:space="0" w:color="auto"/>
        <w:left w:val="none" w:sz="0" w:space="0" w:color="auto"/>
        <w:bottom w:val="none" w:sz="0" w:space="0" w:color="auto"/>
        <w:right w:val="none" w:sz="0" w:space="0" w:color="auto"/>
      </w:divBdr>
    </w:div>
    <w:div w:id="1178958481">
      <w:bodyDiv w:val="1"/>
      <w:marLeft w:val="0"/>
      <w:marRight w:val="0"/>
      <w:marTop w:val="0"/>
      <w:marBottom w:val="0"/>
      <w:divBdr>
        <w:top w:val="none" w:sz="0" w:space="0" w:color="auto"/>
        <w:left w:val="none" w:sz="0" w:space="0" w:color="auto"/>
        <w:bottom w:val="none" w:sz="0" w:space="0" w:color="auto"/>
        <w:right w:val="none" w:sz="0" w:space="0" w:color="auto"/>
      </w:divBdr>
    </w:div>
    <w:div w:id="1181161535">
      <w:bodyDiv w:val="1"/>
      <w:marLeft w:val="0"/>
      <w:marRight w:val="0"/>
      <w:marTop w:val="0"/>
      <w:marBottom w:val="0"/>
      <w:divBdr>
        <w:top w:val="none" w:sz="0" w:space="0" w:color="auto"/>
        <w:left w:val="none" w:sz="0" w:space="0" w:color="auto"/>
        <w:bottom w:val="none" w:sz="0" w:space="0" w:color="auto"/>
        <w:right w:val="none" w:sz="0" w:space="0" w:color="auto"/>
      </w:divBdr>
    </w:div>
    <w:div w:id="1185557466">
      <w:bodyDiv w:val="1"/>
      <w:marLeft w:val="0"/>
      <w:marRight w:val="0"/>
      <w:marTop w:val="0"/>
      <w:marBottom w:val="0"/>
      <w:divBdr>
        <w:top w:val="none" w:sz="0" w:space="0" w:color="auto"/>
        <w:left w:val="none" w:sz="0" w:space="0" w:color="auto"/>
        <w:bottom w:val="none" w:sz="0" w:space="0" w:color="auto"/>
        <w:right w:val="none" w:sz="0" w:space="0" w:color="auto"/>
      </w:divBdr>
    </w:div>
    <w:div w:id="1197281414">
      <w:bodyDiv w:val="1"/>
      <w:marLeft w:val="0"/>
      <w:marRight w:val="0"/>
      <w:marTop w:val="0"/>
      <w:marBottom w:val="0"/>
      <w:divBdr>
        <w:top w:val="none" w:sz="0" w:space="0" w:color="auto"/>
        <w:left w:val="none" w:sz="0" w:space="0" w:color="auto"/>
        <w:bottom w:val="none" w:sz="0" w:space="0" w:color="auto"/>
        <w:right w:val="none" w:sz="0" w:space="0" w:color="auto"/>
      </w:divBdr>
    </w:div>
    <w:div w:id="1207528605">
      <w:bodyDiv w:val="1"/>
      <w:marLeft w:val="0"/>
      <w:marRight w:val="0"/>
      <w:marTop w:val="0"/>
      <w:marBottom w:val="0"/>
      <w:divBdr>
        <w:top w:val="none" w:sz="0" w:space="0" w:color="auto"/>
        <w:left w:val="none" w:sz="0" w:space="0" w:color="auto"/>
        <w:bottom w:val="none" w:sz="0" w:space="0" w:color="auto"/>
        <w:right w:val="none" w:sz="0" w:space="0" w:color="auto"/>
      </w:divBdr>
    </w:div>
    <w:div w:id="1209219934">
      <w:bodyDiv w:val="1"/>
      <w:marLeft w:val="0"/>
      <w:marRight w:val="0"/>
      <w:marTop w:val="0"/>
      <w:marBottom w:val="0"/>
      <w:divBdr>
        <w:top w:val="none" w:sz="0" w:space="0" w:color="auto"/>
        <w:left w:val="none" w:sz="0" w:space="0" w:color="auto"/>
        <w:bottom w:val="none" w:sz="0" w:space="0" w:color="auto"/>
        <w:right w:val="none" w:sz="0" w:space="0" w:color="auto"/>
      </w:divBdr>
    </w:div>
    <w:div w:id="1223130124">
      <w:bodyDiv w:val="1"/>
      <w:marLeft w:val="0"/>
      <w:marRight w:val="0"/>
      <w:marTop w:val="0"/>
      <w:marBottom w:val="0"/>
      <w:divBdr>
        <w:top w:val="none" w:sz="0" w:space="0" w:color="auto"/>
        <w:left w:val="none" w:sz="0" w:space="0" w:color="auto"/>
        <w:bottom w:val="none" w:sz="0" w:space="0" w:color="auto"/>
        <w:right w:val="none" w:sz="0" w:space="0" w:color="auto"/>
      </w:divBdr>
    </w:div>
    <w:div w:id="1231160431">
      <w:bodyDiv w:val="1"/>
      <w:marLeft w:val="0"/>
      <w:marRight w:val="0"/>
      <w:marTop w:val="0"/>
      <w:marBottom w:val="0"/>
      <w:divBdr>
        <w:top w:val="none" w:sz="0" w:space="0" w:color="auto"/>
        <w:left w:val="none" w:sz="0" w:space="0" w:color="auto"/>
        <w:bottom w:val="none" w:sz="0" w:space="0" w:color="auto"/>
        <w:right w:val="none" w:sz="0" w:space="0" w:color="auto"/>
      </w:divBdr>
    </w:div>
    <w:div w:id="1249651851">
      <w:bodyDiv w:val="1"/>
      <w:marLeft w:val="0"/>
      <w:marRight w:val="0"/>
      <w:marTop w:val="0"/>
      <w:marBottom w:val="0"/>
      <w:divBdr>
        <w:top w:val="none" w:sz="0" w:space="0" w:color="auto"/>
        <w:left w:val="none" w:sz="0" w:space="0" w:color="auto"/>
        <w:bottom w:val="none" w:sz="0" w:space="0" w:color="auto"/>
        <w:right w:val="none" w:sz="0" w:space="0" w:color="auto"/>
      </w:divBdr>
    </w:div>
    <w:div w:id="1256015509">
      <w:bodyDiv w:val="1"/>
      <w:marLeft w:val="0"/>
      <w:marRight w:val="0"/>
      <w:marTop w:val="0"/>
      <w:marBottom w:val="0"/>
      <w:divBdr>
        <w:top w:val="none" w:sz="0" w:space="0" w:color="auto"/>
        <w:left w:val="none" w:sz="0" w:space="0" w:color="auto"/>
        <w:bottom w:val="none" w:sz="0" w:space="0" w:color="auto"/>
        <w:right w:val="none" w:sz="0" w:space="0" w:color="auto"/>
      </w:divBdr>
    </w:div>
    <w:div w:id="1266229015">
      <w:bodyDiv w:val="1"/>
      <w:marLeft w:val="0"/>
      <w:marRight w:val="0"/>
      <w:marTop w:val="0"/>
      <w:marBottom w:val="0"/>
      <w:divBdr>
        <w:top w:val="none" w:sz="0" w:space="0" w:color="auto"/>
        <w:left w:val="none" w:sz="0" w:space="0" w:color="auto"/>
        <w:bottom w:val="none" w:sz="0" w:space="0" w:color="auto"/>
        <w:right w:val="none" w:sz="0" w:space="0" w:color="auto"/>
      </w:divBdr>
    </w:div>
    <w:div w:id="1276599740">
      <w:bodyDiv w:val="1"/>
      <w:marLeft w:val="0"/>
      <w:marRight w:val="0"/>
      <w:marTop w:val="0"/>
      <w:marBottom w:val="0"/>
      <w:divBdr>
        <w:top w:val="none" w:sz="0" w:space="0" w:color="auto"/>
        <w:left w:val="none" w:sz="0" w:space="0" w:color="auto"/>
        <w:bottom w:val="none" w:sz="0" w:space="0" w:color="auto"/>
        <w:right w:val="none" w:sz="0" w:space="0" w:color="auto"/>
      </w:divBdr>
    </w:div>
    <w:div w:id="1281491872">
      <w:bodyDiv w:val="1"/>
      <w:marLeft w:val="0"/>
      <w:marRight w:val="0"/>
      <w:marTop w:val="0"/>
      <w:marBottom w:val="0"/>
      <w:divBdr>
        <w:top w:val="none" w:sz="0" w:space="0" w:color="auto"/>
        <w:left w:val="none" w:sz="0" w:space="0" w:color="auto"/>
        <w:bottom w:val="none" w:sz="0" w:space="0" w:color="auto"/>
        <w:right w:val="none" w:sz="0" w:space="0" w:color="auto"/>
      </w:divBdr>
    </w:div>
    <w:div w:id="1281719505">
      <w:bodyDiv w:val="1"/>
      <w:marLeft w:val="0"/>
      <w:marRight w:val="0"/>
      <w:marTop w:val="0"/>
      <w:marBottom w:val="0"/>
      <w:divBdr>
        <w:top w:val="none" w:sz="0" w:space="0" w:color="auto"/>
        <w:left w:val="none" w:sz="0" w:space="0" w:color="auto"/>
        <w:bottom w:val="none" w:sz="0" w:space="0" w:color="auto"/>
        <w:right w:val="none" w:sz="0" w:space="0" w:color="auto"/>
      </w:divBdr>
    </w:div>
    <w:div w:id="1307319096">
      <w:bodyDiv w:val="1"/>
      <w:marLeft w:val="0"/>
      <w:marRight w:val="0"/>
      <w:marTop w:val="0"/>
      <w:marBottom w:val="0"/>
      <w:divBdr>
        <w:top w:val="none" w:sz="0" w:space="0" w:color="auto"/>
        <w:left w:val="none" w:sz="0" w:space="0" w:color="auto"/>
        <w:bottom w:val="none" w:sz="0" w:space="0" w:color="auto"/>
        <w:right w:val="none" w:sz="0" w:space="0" w:color="auto"/>
      </w:divBdr>
    </w:div>
    <w:div w:id="1350332951">
      <w:bodyDiv w:val="1"/>
      <w:marLeft w:val="0"/>
      <w:marRight w:val="0"/>
      <w:marTop w:val="0"/>
      <w:marBottom w:val="0"/>
      <w:divBdr>
        <w:top w:val="none" w:sz="0" w:space="0" w:color="auto"/>
        <w:left w:val="none" w:sz="0" w:space="0" w:color="auto"/>
        <w:bottom w:val="none" w:sz="0" w:space="0" w:color="auto"/>
        <w:right w:val="none" w:sz="0" w:space="0" w:color="auto"/>
      </w:divBdr>
    </w:div>
    <w:div w:id="1366177444">
      <w:bodyDiv w:val="1"/>
      <w:marLeft w:val="0"/>
      <w:marRight w:val="0"/>
      <w:marTop w:val="0"/>
      <w:marBottom w:val="0"/>
      <w:divBdr>
        <w:top w:val="none" w:sz="0" w:space="0" w:color="auto"/>
        <w:left w:val="none" w:sz="0" w:space="0" w:color="auto"/>
        <w:bottom w:val="none" w:sz="0" w:space="0" w:color="auto"/>
        <w:right w:val="none" w:sz="0" w:space="0" w:color="auto"/>
      </w:divBdr>
    </w:div>
    <w:div w:id="1378435434">
      <w:bodyDiv w:val="1"/>
      <w:marLeft w:val="0"/>
      <w:marRight w:val="0"/>
      <w:marTop w:val="0"/>
      <w:marBottom w:val="0"/>
      <w:divBdr>
        <w:top w:val="none" w:sz="0" w:space="0" w:color="auto"/>
        <w:left w:val="none" w:sz="0" w:space="0" w:color="auto"/>
        <w:bottom w:val="none" w:sz="0" w:space="0" w:color="auto"/>
        <w:right w:val="none" w:sz="0" w:space="0" w:color="auto"/>
      </w:divBdr>
    </w:div>
    <w:div w:id="1384909939">
      <w:bodyDiv w:val="1"/>
      <w:marLeft w:val="0"/>
      <w:marRight w:val="0"/>
      <w:marTop w:val="0"/>
      <w:marBottom w:val="0"/>
      <w:divBdr>
        <w:top w:val="none" w:sz="0" w:space="0" w:color="auto"/>
        <w:left w:val="none" w:sz="0" w:space="0" w:color="auto"/>
        <w:bottom w:val="none" w:sz="0" w:space="0" w:color="auto"/>
        <w:right w:val="none" w:sz="0" w:space="0" w:color="auto"/>
      </w:divBdr>
    </w:div>
    <w:div w:id="1453011212">
      <w:bodyDiv w:val="1"/>
      <w:marLeft w:val="0"/>
      <w:marRight w:val="0"/>
      <w:marTop w:val="0"/>
      <w:marBottom w:val="0"/>
      <w:divBdr>
        <w:top w:val="none" w:sz="0" w:space="0" w:color="auto"/>
        <w:left w:val="none" w:sz="0" w:space="0" w:color="auto"/>
        <w:bottom w:val="none" w:sz="0" w:space="0" w:color="auto"/>
        <w:right w:val="none" w:sz="0" w:space="0" w:color="auto"/>
      </w:divBdr>
    </w:div>
    <w:div w:id="1488401769">
      <w:bodyDiv w:val="1"/>
      <w:marLeft w:val="0"/>
      <w:marRight w:val="0"/>
      <w:marTop w:val="0"/>
      <w:marBottom w:val="0"/>
      <w:divBdr>
        <w:top w:val="none" w:sz="0" w:space="0" w:color="auto"/>
        <w:left w:val="none" w:sz="0" w:space="0" w:color="auto"/>
        <w:bottom w:val="none" w:sz="0" w:space="0" w:color="auto"/>
        <w:right w:val="none" w:sz="0" w:space="0" w:color="auto"/>
      </w:divBdr>
    </w:div>
    <w:div w:id="1526944807">
      <w:bodyDiv w:val="1"/>
      <w:marLeft w:val="0"/>
      <w:marRight w:val="0"/>
      <w:marTop w:val="0"/>
      <w:marBottom w:val="0"/>
      <w:divBdr>
        <w:top w:val="none" w:sz="0" w:space="0" w:color="auto"/>
        <w:left w:val="none" w:sz="0" w:space="0" w:color="auto"/>
        <w:bottom w:val="none" w:sz="0" w:space="0" w:color="auto"/>
        <w:right w:val="none" w:sz="0" w:space="0" w:color="auto"/>
      </w:divBdr>
    </w:div>
    <w:div w:id="1527527159">
      <w:bodyDiv w:val="1"/>
      <w:marLeft w:val="0"/>
      <w:marRight w:val="0"/>
      <w:marTop w:val="0"/>
      <w:marBottom w:val="0"/>
      <w:divBdr>
        <w:top w:val="none" w:sz="0" w:space="0" w:color="auto"/>
        <w:left w:val="none" w:sz="0" w:space="0" w:color="auto"/>
        <w:bottom w:val="none" w:sz="0" w:space="0" w:color="auto"/>
        <w:right w:val="none" w:sz="0" w:space="0" w:color="auto"/>
      </w:divBdr>
    </w:div>
    <w:div w:id="1565096594">
      <w:bodyDiv w:val="1"/>
      <w:marLeft w:val="0"/>
      <w:marRight w:val="0"/>
      <w:marTop w:val="0"/>
      <w:marBottom w:val="0"/>
      <w:divBdr>
        <w:top w:val="none" w:sz="0" w:space="0" w:color="auto"/>
        <w:left w:val="none" w:sz="0" w:space="0" w:color="auto"/>
        <w:bottom w:val="none" w:sz="0" w:space="0" w:color="auto"/>
        <w:right w:val="none" w:sz="0" w:space="0" w:color="auto"/>
      </w:divBdr>
    </w:div>
    <w:div w:id="1621062306">
      <w:bodyDiv w:val="1"/>
      <w:marLeft w:val="0"/>
      <w:marRight w:val="0"/>
      <w:marTop w:val="0"/>
      <w:marBottom w:val="0"/>
      <w:divBdr>
        <w:top w:val="none" w:sz="0" w:space="0" w:color="auto"/>
        <w:left w:val="none" w:sz="0" w:space="0" w:color="auto"/>
        <w:bottom w:val="none" w:sz="0" w:space="0" w:color="auto"/>
        <w:right w:val="none" w:sz="0" w:space="0" w:color="auto"/>
      </w:divBdr>
    </w:div>
    <w:div w:id="1636793899">
      <w:bodyDiv w:val="1"/>
      <w:marLeft w:val="0"/>
      <w:marRight w:val="0"/>
      <w:marTop w:val="0"/>
      <w:marBottom w:val="0"/>
      <w:divBdr>
        <w:top w:val="none" w:sz="0" w:space="0" w:color="auto"/>
        <w:left w:val="none" w:sz="0" w:space="0" w:color="auto"/>
        <w:bottom w:val="none" w:sz="0" w:space="0" w:color="auto"/>
        <w:right w:val="none" w:sz="0" w:space="0" w:color="auto"/>
      </w:divBdr>
    </w:div>
    <w:div w:id="1638220847">
      <w:bodyDiv w:val="1"/>
      <w:marLeft w:val="0"/>
      <w:marRight w:val="0"/>
      <w:marTop w:val="0"/>
      <w:marBottom w:val="0"/>
      <w:divBdr>
        <w:top w:val="none" w:sz="0" w:space="0" w:color="auto"/>
        <w:left w:val="none" w:sz="0" w:space="0" w:color="auto"/>
        <w:bottom w:val="none" w:sz="0" w:space="0" w:color="auto"/>
        <w:right w:val="none" w:sz="0" w:space="0" w:color="auto"/>
      </w:divBdr>
    </w:div>
    <w:div w:id="1656837753">
      <w:bodyDiv w:val="1"/>
      <w:marLeft w:val="0"/>
      <w:marRight w:val="0"/>
      <w:marTop w:val="0"/>
      <w:marBottom w:val="0"/>
      <w:divBdr>
        <w:top w:val="none" w:sz="0" w:space="0" w:color="auto"/>
        <w:left w:val="none" w:sz="0" w:space="0" w:color="auto"/>
        <w:bottom w:val="none" w:sz="0" w:space="0" w:color="auto"/>
        <w:right w:val="none" w:sz="0" w:space="0" w:color="auto"/>
      </w:divBdr>
    </w:div>
    <w:div w:id="1666929719">
      <w:bodyDiv w:val="1"/>
      <w:marLeft w:val="0"/>
      <w:marRight w:val="0"/>
      <w:marTop w:val="0"/>
      <w:marBottom w:val="0"/>
      <w:divBdr>
        <w:top w:val="none" w:sz="0" w:space="0" w:color="auto"/>
        <w:left w:val="none" w:sz="0" w:space="0" w:color="auto"/>
        <w:bottom w:val="none" w:sz="0" w:space="0" w:color="auto"/>
        <w:right w:val="none" w:sz="0" w:space="0" w:color="auto"/>
      </w:divBdr>
    </w:div>
    <w:div w:id="1682079161">
      <w:bodyDiv w:val="1"/>
      <w:marLeft w:val="0"/>
      <w:marRight w:val="0"/>
      <w:marTop w:val="0"/>
      <w:marBottom w:val="0"/>
      <w:divBdr>
        <w:top w:val="none" w:sz="0" w:space="0" w:color="auto"/>
        <w:left w:val="none" w:sz="0" w:space="0" w:color="auto"/>
        <w:bottom w:val="none" w:sz="0" w:space="0" w:color="auto"/>
        <w:right w:val="none" w:sz="0" w:space="0" w:color="auto"/>
      </w:divBdr>
    </w:div>
    <w:div w:id="1685664120">
      <w:bodyDiv w:val="1"/>
      <w:marLeft w:val="0"/>
      <w:marRight w:val="0"/>
      <w:marTop w:val="0"/>
      <w:marBottom w:val="0"/>
      <w:divBdr>
        <w:top w:val="none" w:sz="0" w:space="0" w:color="auto"/>
        <w:left w:val="none" w:sz="0" w:space="0" w:color="auto"/>
        <w:bottom w:val="none" w:sz="0" w:space="0" w:color="auto"/>
        <w:right w:val="none" w:sz="0" w:space="0" w:color="auto"/>
      </w:divBdr>
    </w:div>
    <w:div w:id="1690981430">
      <w:bodyDiv w:val="1"/>
      <w:marLeft w:val="0"/>
      <w:marRight w:val="0"/>
      <w:marTop w:val="0"/>
      <w:marBottom w:val="0"/>
      <w:divBdr>
        <w:top w:val="none" w:sz="0" w:space="0" w:color="auto"/>
        <w:left w:val="none" w:sz="0" w:space="0" w:color="auto"/>
        <w:bottom w:val="none" w:sz="0" w:space="0" w:color="auto"/>
        <w:right w:val="none" w:sz="0" w:space="0" w:color="auto"/>
      </w:divBdr>
    </w:div>
    <w:div w:id="1717507010">
      <w:bodyDiv w:val="1"/>
      <w:marLeft w:val="0"/>
      <w:marRight w:val="0"/>
      <w:marTop w:val="0"/>
      <w:marBottom w:val="0"/>
      <w:divBdr>
        <w:top w:val="none" w:sz="0" w:space="0" w:color="auto"/>
        <w:left w:val="none" w:sz="0" w:space="0" w:color="auto"/>
        <w:bottom w:val="none" w:sz="0" w:space="0" w:color="auto"/>
        <w:right w:val="none" w:sz="0" w:space="0" w:color="auto"/>
      </w:divBdr>
    </w:div>
    <w:div w:id="1754475956">
      <w:bodyDiv w:val="1"/>
      <w:marLeft w:val="0"/>
      <w:marRight w:val="0"/>
      <w:marTop w:val="0"/>
      <w:marBottom w:val="0"/>
      <w:divBdr>
        <w:top w:val="none" w:sz="0" w:space="0" w:color="auto"/>
        <w:left w:val="none" w:sz="0" w:space="0" w:color="auto"/>
        <w:bottom w:val="none" w:sz="0" w:space="0" w:color="auto"/>
        <w:right w:val="none" w:sz="0" w:space="0" w:color="auto"/>
      </w:divBdr>
    </w:div>
    <w:div w:id="1798453774">
      <w:bodyDiv w:val="1"/>
      <w:marLeft w:val="0"/>
      <w:marRight w:val="0"/>
      <w:marTop w:val="0"/>
      <w:marBottom w:val="0"/>
      <w:divBdr>
        <w:top w:val="none" w:sz="0" w:space="0" w:color="auto"/>
        <w:left w:val="none" w:sz="0" w:space="0" w:color="auto"/>
        <w:bottom w:val="none" w:sz="0" w:space="0" w:color="auto"/>
        <w:right w:val="none" w:sz="0" w:space="0" w:color="auto"/>
      </w:divBdr>
    </w:div>
    <w:div w:id="1832331522">
      <w:bodyDiv w:val="1"/>
      <w:marLeft w:val="0"/>
      <w:marRight w:val="0"/>
      <w:marTop w:val="0"/>
      <w:marBottom w:val="0"/>
      <w:divBdr>
        <w:top w:val="none" w:sz="0" w:space="0" w:color="auto"/>
        <w:left w:val="none" w:sz="0" w:space="0" w:color="auto"/>
        <w:bottom w:val="none" w:sz="0" w:space="0" w:color="auto"/>
        <w:right w:val="none" w:sz="0" w:space="0" w:color="auto"/>
      </w:divBdr>
    </w:div>
    <w:div w:id="1835490059">
      <w:bodyDiv w:val="1"/>
      <w:marLeft w:val="0"/>
      <w:marRight w:val="0"/>
      <w:marTop w:val="0"/>
      <w:marBottom w:val="0"/>
      <w:divBdr>
        <w:top w:val="none" w:sz="0" w:space="0" w:color="auto"/>
        <w:left w:val="none" w:sz="0" w:space="0" w:color="auto"/>
        <w:bottom w:val="none" w:sz="0" w:space="0" w:color="auto"/>
        <w:right w:val="none" w:sz="0" w:space="0" w:color="auto"/>
      </w:divBdr>
    </w:div>
    <w:div w:id="1885830212">
      <w:bodyDiv w:val="1"/>
      <w:marLeft w:val="0"/>
      <w:marRight w:val="0"/>
      <w:marTop w:val="0"/>
      <w:marBottom w:val="0"/>
      <w:divBdr>
        <w:top w:val="none" w:sz="0" w:space="0" w:color="auto"/>
        <w:left w:val="none" w:sz="0" w:space="0" w:color="auto"/>
        <w:bottom w:val="none" w:sz="0" w:space="0" w:color="auto"/>
        <w:right w:val="none" w:sz="0" w:space="0" w:color="auto"/>
      </w:divBdr>
      <w:divsChild>
        <w:div w:id="1518888600">
          <w:marLeft w:val="0"/>
          <w:marRight w:val="0"/>
          <w:marTop w:val="0"/>
          <w:marBottom w:val="0"/>
          <w:divBdr>
            <w:top w:val="none" w:sz="0" w:space="0" w:color="auto"/>
            <w:left w:val="none" w:sz="0" w:space="0" w:color="auto"/>
            <w:bottom w:val="none" w:sz="0" w:space="0" w:color="auto"/>
            <w:right w:val="none" w:sz="0" w:space="0" w:color="auto"/>
          </w:divBdr>
        </w:div>
      </w:divsChild>
    </w:div>
    <w:div w:id="1887061453">
      <w:bodyDiv w:val="1"/>
      <w:marLeft w:val="0"/>
      <w:marRight w:val="0"/>
      <w:marTop w:val="0"/>
      <w:marBottom w:val="0"/>
      <w:divBdr>
        <w:top w:val="none" w:sz="0" w:space="0" w:color="auto"/>
        <w:left w:val="none" w:sz="0" w:space="0" w:color="auto"/>
        <w:bottom w:val="none" w:sz="0" w:space="0" w:color="auto"/>
        <w:right w:val="none" w:sz="0" w:space="0" w:color="auto"/>
      </w:divBdr>
    </w:div>
    <w:div w:id="1990212875">
      <w:bodyDiv w:val="1"/>
      <w:marLeft w:val="0"/>
      <w:marRight w:val="0"/>
      <w:marTop w:val="0"/>
      <w:marBottom w:val="0"/>
      <w:divBdr>
        <w:top w:val="none" w:sz="0" w:space="0" w:color="auto"/>
        <w:left w:val="none" w:sz="0" w:space="0" w:color="auto"/>
        <w:bottom w:val="none" w:sz="0" w:space="0" w:color="auto"/>
        <w:right w:val="none" w:sz="0" w:space="0" w:color="auto"/>
      </w:divBdr>
    </w:div>
    <w:div w:id="1992951513">
      <w:bodyDiv w:val="1"/>
      <w:marLeft w:val="0"/>
      <w:marRight w:val="0"/>
      <w:marTop w:val="0"/>
      <w:marBottom w:val="0"/>
      <w:divBdr>
        <w:top w:val="none" w:sz="0" w:space="0" w:color="auto"/>
        <w:left w:val="none" w:sz="0" w:space="0" w:color="auto"/>
        <w:bottom w:val="none" w:sz="0" w:space="0" w:color="auto"/>
        <w:right w:val="none" w:sz="0" w:space="0" w:color="auto"/>
      </w:divBdr>
    </w:div>
    <w:div w:id="2010910839">
      <w:bodyDiv w:val="1"/>
      <w:marLeft w:val="0"/>
      <w:marRight w:val="0"/>
      <w:marTop w:val="0"/>
      <w:marBottom w:val="0"/>
      <w:divBdr>
        <w:top w:val="none" w:sz="0" w:space="0" w:color="auto"/>
        <w:left w:val="none" w:sz="0" w:space="0" w:color="auto"/>
        <w:bottom w:val="none" w:sz="0" w:space="0" w:color="auto"/>
        <w:right w:val="none" w:sz="0" w:space="0" w:color="auto"/>
      </w:divBdr>
    </w:div>
    <w:div w:id="2033453026">
      <w:bodyDiv w:val="1"/>
      <w:marLeft w:val="0"/>
      <w:marRight w:val="0"/>
      <w:marTop w:val="0"/>
      <w:marBottom w:val="0"/>
      <w:divBdr>
        <w:top w:val="none" w:sz="0" w:space="0" w:color="auto"/>
        <w:left w:val="none" w:sz="0" w:space="0" w:color="auto"/>
        <w:bottom w:val="none" w:sz="0" w:space="0" w:color="auto"/>
        <w:right w:val="none" w:sz="0" w:space="0" w:color="auto"/>
      </w:divBdr>
    </w:div>
    <w:div w:id="2042433672">
      <w:bodyDiv w:val="1"/>
      <w:marLeft w:val="0"/>
      <w:marRight w:val="0"/>
      <w:marTop w:val="0"/>
      <w:marBottom w:val="0"/>
      <w:divBdr>
        <w:top w:val="none" w:sz="0" w:space="0" w:color="auto"/>
        <w:left w:val="none" w:sz="0" w:space="0" w:color="auto"/>
        <w:bottom w:val="none" w:sz="0" w:space="0" w:color="auto"/>
        <w:right w:val="none" w:sz="0" w:space="0" w:color="auto"/>
      </w:divBdr>
    </w:div>
    <w:div w:id="2042513134">
      <w:bodyDiv w:val="1"/>
      <w:marLeft w:val="0"/>
      <w:marRight w:val="0"/>
      <w:marTop w:val="0"/>
      <w:marBottom w:val="0"/>
      <w:divBdr>
        <w:top w:val="none" w:sz="0" w:space="0" w:color="auto"/>
        <w:left w:val="none" w:sz="0" w:space="0" w:color="auto"/>
        <w:bottom w:val="none" w:sz="0" w:space="0" w:color="auto"/>
        <w:right w:val="none" w:sz="0" w:space="0" w:color="auto"/>
      </w:divBdr>
    </w:div>
    <w:div w:id="2066948068">
      <w:bodyDiv w:val="1"/>
      <w:marLeft w:val="0"/>
      <w:marRight w:val="0"/>
      <w:marTop w:val="0"/>
      <w:marBottom w:val="0"/>
      <w:divBdr>
        <w:top w:val="none" w:sz="0" w:space="0" w:color="auto"/>
        <w:left w:val="none" w:sz="0" w:space="0" w:color="auto"/>
        <w:bottom w:val="none" w:sz="0" w:space="0" w:color="auto"/>
        <w:right w:val="none" w:sz="0" w:space="0" w:color="auto"/>
      </w:divBdr>
    </w:div>
    <w:div w:id="2115858931">
      <w:bodyDiv w:val="1"/>
      <w:marLeft w:val="0"/>
      <w:marRight w:val="0"/>
      <w:marTop w:val="0"/>
      <w:marBottom w:val="0"/>
      <w:divBdr>
        <w:top w:val="none" w:sz="0" w:space="0" w:color="auto"/>
        <w:left w:val="none" w:sz="0" w:space="0" w:color="auto"/>
        <w:bottom w:val="none" w:sz="0" w:space="0" w:color="auto"/>
        <w:right w:val="none" w:sz="0" w:space="0" w:color="auto"/>
      </w:divBdr>
    </w:div>
    <w:div w:id="2120172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5.xml"/><Relationship Id="rId18" Type="http://schemas.openxmlformats.org/officeDocument/2006/relationships/chart" Target="charts/chart10.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chart" Target="charts/chart13.xml"/><Relationship Id="rId7" Type="http://schemas.openxmlformats.org/officeDocument/2006/relationships/endnotes" Target="endnotes.xml"/><Relationship Id="rId12" Type="http://schemas.openxmlformats.org/officeDocument/2006/relationships/chart" Target="charts/chart4.xml"/><Relationship Id="rId17" Type="http://schemas.openxmlformats.org/officeDocument/2006/relationships/chart" Target="charts/chart9.xml"/><Relationship Id="rId25" Type="http://schemas.openxmlformats.org/officeDocument/2006/relationships/hyperlink" Target="https://en.wikipedia.org/wiki/Refrigeration" TargetMode="External"/><Relationship Id="rId2" Type="http://schemas.openxmlformats.org/officeDocument/2006/relationships/numbering" Target="numbering.xml"/><Relationship Id="rId16" Type="http://schemas.openxmlformats.org/officeDocument/2006/relationships/chart" Target="charts/chart8.xml"/><Relationship Id="rId20" Type="http://schemas.openxmlformats.org/officeDocument/2006/relationships/chart" Target="charts/chart12.xm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24" Type="http://schemas.openxmlformats.org/officeDocument/2006/relationships/hyperlink" Target="https://en.wikipedia.org/wiki/Goods_shed" TargetMode="External"/><Relationship Id="rId5" Type="http://schemas.openxmlformats.org/officeDocument/2006/relationships/webSettings" Target="webSettings.xml"/><Relationship Id="rId15" Type="http://schemas.openxmlformats.org/officeDocument/2006/relationships/chart" Target="charts/chart7.xml"/><Relationship Id="rId23" Type="http://schemas.openxmlformats.org/officeDocument/2006/relationships/chart" Target="charts/chart15.xml"/><Relationship Id="rId28" Type="http://schemas.openxmlformats.org/officeDocument/2006/relationships/header" Target="header2.xml"/><Relationship Id="rId10" Type="http://schemas.openxmlformats.org/officeDocument/2006/relationships/chart" Target="charts/chart2.xml"/><Relationship Id="rId19" Type="http://schemas.openxmlformats.org/officeDocument/2006/relationships/chart" Target="charts/chart11.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6.xml"/><Relationship Id="rId22" Type="http://schemas.openxmlformats.org/officeDocument/2006/relationships/chart" Target="charts/chart14.xml"/><Relationship Id="rId27" Type="http://schemas.openxmlformats.org/officeDocument/2006/relationships/footer" Target="footer1.xm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3" Type="http://schemas.openxmlformats.org/officeDocument/2006/relationships/hyperlink" Target="https://eto.dnvgl.com/2018/maritime" TargetMode="External"/><Relationship Id="rId2" Type="http://schemas.openxmlformats.org/officeDocument/2006/relationships/hyperlink" Target="https://unctad.org/en/pages/PublicationWebflyer.aspx?publicationid=2245" TargetMode="External"/><Relationship Id="rId1" Type="http://schemas.openxmlformats.org/officeDocument/2006/relationships/hyperlink" Target="http://www.tidallagoonpower.com/wp-content/uploads/2016/08/The-Economic-Case-for-a-Tidal-Lagoon-Industry-in-the-UK_final.pdf" TargetMode="External"/><Relationship Id="rId4" Type="http://schemas.openxmlformats.org/officeDocument/2006/relationships/hyperlink" Target="https://www.oecd-ilibrary.org/economics/the-ocean-economy-in-2030/growth-prospects-challenges-and-uncertainties-for-selected-ocean-industries_9789264251724-10-e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charts/_rels/chart1.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5.xml"/><Relationship Id="rId1" Type="http://schemas.microsoft.com/office/2011/relationships/chartStyle" Target="style15.xml"/><Relationship Id="rId5" Type="http://schemas.openxmlformats.org/officeDocument/2006/relationships/chartUserShapes" Target="../drawings/drawing1.xml"/><Relationship Id="rId4" Type="http://schemas.openxmlformats.org/officeDocument/2006/relationships/oleObject" Target="file:///\\cebr-fs01\company\Clients\Maritime%20UK\4821%20-%20MUK%20refresh\Forecasts\Analysis\Wales%20Forecast\Wales%20Forecast.xlsx" TargetMode="External"/></Relationships>
</file>

<file path=word/charts/_rels/chart2.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Book2"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Comparison%20Graphs\Regional%20comparison%20analysis.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ebr-fs01\company\Clients\Maritime%20UK\4821%20-%20MUK%20refresh\Regional%20analysis\Data\Compiled\Master%20Sheet%20-%20Regional%20v5.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679704624774397"/>
          <c:h val="0.73577136191309422"/>
        </c:manualLayout>
      </c:layout>
      <c:barChart>
        <c:barDir val="col"/>
        <c:grouping val="stacked"/>
        <c:varyColors val="0"/>
        <c:ser>
          <c:idx val="0"/>
          <c:order val="0"/>
          <c:tx>
            <c:strRef>
              <c:f>Charts_EI_Wal!$W$22</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Charts_EI_Wal!$X$22:$AE$22</c:f>
              <c:numCache>
                <c:formatCode>#,##0_ ;\-#,##0\ </c:formatCode>
                <c:ptCount val="8"/>
                <c:pt idx="0">
                  <c:v>572.62349791617601</c:v>
                </c:pt>
                <c:pt idx="1">
                  <c:v>924.06938582573639</c:v>
                </c:pt>
                <c:pt idx="2">
                  <c:v>979.42819398460779</c:v>
                </c:pt>
                <c:pt idx="3">
                  <c:v>563.31116551630794</c:v>
                </c:pt>
                <c:pt idx="4">
                  <c:v>594.28597633551954</c:v>
                </c:pt>
                <c:pt idx="5">
                  <c:v>766.27945083925306</c:v>
                </c:pt>
                <c:pt idx="6">
                  <c:v>574.86672634152956</c:v>
                </c:pt>
                <c:pt idx="7">
                  <c:v>248.21105541447497</c:v>
                </c:pt>
              </c:numCache>
            </c:numRef>
          </c:val>
        </c:ser>
        <c:ser>
          <c:idx val="1"/>
          <c:order val="1"/>
          <c:tx>
            <c:strRef>
              <c:f>Charts_EI_Wal!$W$23</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Charts_EI_Wal!$X$23:$AE$23</c:f>
              <c:numCache>
                <c:formatCode>#,##0_ ;\-#,##0\ </c:formatCode>
                <c:ptCount val="8"/>
                <c:pt idx="0">
                  <c:v>114.53372233201995</c:v>
                </c:pt>
                <c:pt idx="1">
                  <c:v>140.82336383400553</c:v>
                </c:pt>
                <c:pt idx="2">
                  <c:v>109.34054029867885</c:v>
                </c:pt>
                <c:pt idx="3">
                  <c:v>83.684603518426755</c:v>
                </c:pt>
                <c:pt idx="4">
                  <c:v>153.95037062925843</c:v>
                </c:pt>
                <c:pt idx="5">
                  <c:v>130.35619373774813</c:v>
                </c:pt>
                <c:pt idx="6">
                  <c:v>69.972261527413011</c:v>
                </c:pt>
                <c:pt idx="7">
                  <c:v>70.209866005001288</c:v>
                </c:pt>
              </c:numCache>
            </c:numRef>
          </c:val>
        </c:ser>
        <c:ser>
          <c:idx val="2"/>
          <c:order val="2"/>
          <c:tx>
            <c:strRef>
              <c:f>Charts_EI_Wal!$W$24</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Charts_EI_Wal!$X$24:$AE$24</c:f>
              <c:numCache>
                <c:formatCode>#,##0_ ;\-#,##0\ </c:formatCode>
                <c:ptCount val="8"/>
                <c:pt idx="0">
                  <c:v>60.042810072006155</c:v>
                </c:pt>
                <c:pt idx="1">
                  <c:v>58.69016684598288</c:v>
                </c:pt>
                <c:pt idx="2">
                  <c:v>65.64528079704138</c:v>
                </c:pt>
                <c:pt idx="3">
                  <c:v>37.737401201287035</c:v>
                </c:pt>
                <c:pt idx="4">
                  <c:v>32.398793175938479</c:v>
                </c:pt>
                <c:pt idx="5">
                  <c:v>39.600118404914355</c:v>
                </c:pt>
                <c:pt idx="6">
                  <c:v>40.552443120731077</c:v>
                </c:pt>
                <c:pt idx="7">
                  <c:v>31.097977736616194</c:v>
                </c:pt>
              </c:numCache>
            </c:numRef>
          </c:val>
        </c:ser>
        <c:ser>
          <c:idx val="3"/>
          <c:order val="3"/>
          <c:tx>
            <c:strRef>
              <c:f>Charts_EI_Wal!$W$25</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Charts_EI_Wal!$X$25:$AE$25</c:f>
              <c:numCache>
                <c:formatCode>#,##0_ ;\-#,##0\ </c:formatCode>
                <c:ptCount val="8"/>
                <c:pt idx="0">
                  <c:v>122.70805328971815</c:v>
                </c:pt>
                <c:pt idx="1">
                  <c:v>163.10465913989012</c:v>
                </c:pt>
                <c:pt idx="2">
                  <c:v>134.04651514765848</c:v>
                </c:pt>
                <c:pt idx="3">
                  <c:v>161.84323676620724</c:v>
                </c:pt>
                <c:pt idx="4">
                  <c:v>120.3290877470294</c:v>
                </c:pt>
                <c:pt idx="5">
                  <c:v>142.52938518515802</c:v>
                </c:pt>
                <c:pt idx="6">
                  <c:v>166.94762286713728</c:v>
                </c:pt>
                <c:pt idx="7">
                  <c:v>132.8449562181828</c:v>
                </c:pt>
              </c:numCache>
            </c:numRef>
          </c:val>
        </c:ser>
        <c:ser>
          <c:idx val="4"/>
          <c:order val="4"/>
          <c:tx>
            <c:strRef>
              <c:f>Charts_EI_Wal!$W$26</c:f>
              <c:strCache>
                <c:ptCount val="1"/>
                <c:pt idx="0">
                  <c:v>MBS</c:v>
                </c:pt>
              </c:strCache>
            </c:strRef>
          </c:tx>
          <c:spPr>
            <a:solidFill>
              <a:schemeClr val="accent3"/>
            </a:solidFill>
            <a:ln>
              <a:noFill/>
            </a:ln>
            <a:effectLst/>
          </c:spPr>
          <c:invertIfNegative val="0"/>
          <c:val>
            <c:numRef>
              <c:f>Charts_EI_Wal!$X$26:$AE$26</c:f>
              <c:numCache>
                <c:formatCode>#,##0_ ;\-#,##0\ </c:formatCode>
                <c:ptCount val="8"/>
                <c:pt idx="0">
                  <c:v>15.931848822921113</c:v>
                </c:pt>
                <c:pt idx="1">
                  <c:v>19.326344539151055</c:v>
                </c:pt>
                <c:pt idx="2">
                  <c:v>15.18822389348089</c:v>
                </c:pt>
                <c:pt idx="3">
                  <c:v>11.795214213206389</c:v>
                </c:pt>
                <c:pt idx="4">
                  <c:v>18.224986487719754</c:v>
                </c:pt>
                <c:pt idx="5">
                  <c:v>13.583537411821194</c:v>
                </c:pt>
                <c:pt idx="6">
                  <c:v>11.100679258548295</c:v>
                </c:pt>
                <c:pt idx="7">
                  <c:v>10.206169790911698</c:v>
                </c:pt>
              </c:numCache>
            </c:numRef>
          </c:val>
        </c:ser>
        <c:dLbls>
          <c:showLegendKey val="0"/>
          <c:showVal val="0"/>
          <c:showCatName val="0"/>
          <c:showSerName val="0"/>
          <c:showPercent val="0"/>
          <c:showBubbleSize val="0"/>
        </c:dLbls>
        <c:gapWidth val="150"/>
        <c:overlap val="100"/>
        <c:axId val="149331984"/>
        <c:axId val="149169008"/>
      </c:barChart>
      <c:lineChart>
        <c:grouping val="standard"/>
        <c:varyColors val="0"/>
        <c:ser>
          <c:idx val="5"/>
          <c:order val="5"/>
          <c:tx>
            <c:strRef>
              <c:f>Charts_EI_Wal!$W$27</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Charts_EI_Wal!$X$27:$AE$27</c:f>
              <c:numCache>
                <c:formatCode>0.0%</c:formatCode>
                <c:ptCount val="8"/>
                <c:pt idx="0">
                  <c:v>2.3434915285055584E-2</c:v>
                </c:pt>
                <c:pt idx="1">
                  <c:v>3.2943489757604333E-2</c:v>
                </c:pt>
                <c:pt idx="2">
                  <c:v>3.191548756685058E-2</c:v>
                </c:pt>
                <c:pt idx="3">
                  <c:v>1.9927963829821486E-2</c:v>
                </c:pt>
                <c:pt idx="4">
                  <c:v>2.0600071087626057E-2</c:v>
                </c:pt>
                <c:pt idx="5">
                  <c:v>2.4022749054695071E-2</c:v>
                </c:pt>
                <c:pt idx="6">
                  <c:v>1.8746563176957033E-2</c:v>
                </c:pt>
                <c:pt idx="7">
                  <c:v>1.0397929541829434E-2</c:v>
                </c:pt>
              </c:numCache>
            </c:numRef>
          </c:val>
          <c:smooth val="0"/>
        </c:ser>
        <c:dLbls>
          <c:showLegendKey val="0"/>
          <c:showVal val="0"/>
          <c:showCatName val="0"/>
          <c:showSerName val="0"/>
          <c:showPercent val="0"/>
          <c:showBubbleSize val="0"/>
        </c:dLbls>
        <c:marker val="1"/>
        <c:smooth val="0"/>
        <c:axId val="6266344"/>
        <c:axId val="148590032"/>
      </c:lineChart>
      <c:catAx>
        <c:axId val="14933198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169008"/>
        <c:crosses val="autoZero"/>
        <c:auto val="1"/>
        <c:lblAlgn val="ctr"/>
        <c:lblOffset val="100"/>
        <c:noMultiLvlLbl val="0"/>
      </c:catAx>
      <c:valAx>
        <c:axId val="149169008"/>
        <c:scaling>
          <c:orientation val="minMax"/>
        </c:scaling>
        <c:delete val="0"/>
        <c:axPos val="l"/>
        <c:majorGridlines>
          <c:spPr>
            <a:ln w="9525" cap="flat" cmpd="sng" algn="ctr">
              <a:solidFill>
                <a:schemeClr val="tx1">
                  <a:lumMod val="15000"/>
                  <a:lumOff val="85000"/>
                </a:schemeClr>
              </a:solidFill>
              <a:round/>
            </a:ln>
            <a:effectLst/>
          </c:spPr>
        </c:majorGridlines>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9331984"/>
        <c:crosses val="autoZero"/>
        <c:crossBetween val="between"/>
      </c:valAx>
      <c:valAx>
        <c:axId val="148590032"/>
        <c:scaling>
          <c:orientation val="minMax"/>
          <c:max val="3.5000000000000003E-2"/>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66344"/>
        <c:crosses val="max"/>
        <c:crossBetween val="between"/>
      </c:valAx>
      <c:catAx>
        <c:axId val="6266344"/>
        <c:scaling>
          <c:orientation val="minMax"/>
        </c:scaling>
        <c:delete val="1"/>
        <c:axPos val="b"/>
        <c:numFmt formatCode="General" sourceLinked="1"/>
        <c:majorTickMark val="out"/>
        <c:minorTickMark val="none"/>
        <c:tickLblPos val="nextTo"/>
        <c:crossAx val="148590032"/>
        <c:crosses val="autoZero"/>
        <c:auto val="1"/>
        <c:lblAlgn val="ctr"/>
        <c:lblOffset val="100"/>
        <c:noMultiLvlLbl val="0"/>
      </c:catAx>
      <c:spPr>
        <a:noFill/>
        <a:ln>
          <a:noFill/>
        </a:ln>
        <a:effectLst/>
      </c:spPr>
    </c:plotArea>
    <c:legend>
      <c:legendPos val="b"/>
      <c:layout>
        <c:manualLayout>
          <c:xMode val="edge"/>
          <c:yMode val="edge"/>
          <c:x val="4.636360042843219E-2"/>
          <c:y val="0.86662613379507569"/>
          <c:w val="0.84397843295875474"/>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723114402454902E-2"/>
          <c:y val="5.8848169825474139E-2"/>
          <c:w val="0.83397137512507069"/>
          <c:h val="0.69219850192522725"/>
        </c:manualLayout>
      </c:layout>
      <c:barChart>
        <c:barDir val="col"/>
        <c:grouping val="stacked"/>
        <c:varyColors val="0"/>
        <c:ser>
          <c:idx val="0"/>
          <c:order val="0"/>
          <c:tx>
            <c:strRef>
              <c:f>Charts_EI_Wal!$W$4</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Charts_EI_Wal!$X$4:$AE$4</c:f>
              <c:numCache>
                <c:formatCode>#,##0_ ;\-#,##0\ </c:formatCode>
                <c:ptCount val="8"/>
                <c:pt idx="0">
                  <c:v>150.97908790600169</c:v>
                </c:pt>
                <c:pt idx="1">
                  <c:v>147.76729596943181</c:v>
                </c:pt>
                <c:pt idx="2">
                  <c:v>118.4978904561456</c:v>
                </c:pt>
                <c:pt idx="3">
                  <c:v>92.062290211024418</c:v>
                </c:pt>
                <c:pt idx="4">
                  <c:v>90.698974015292592</c:v>
                </c:pt>
                <c:pt idx="5">
                  <c:v>84.004002932402955</c:v>
                </c:pt>
                <c:pt idx="6">
                  <c:v>88.438915922359939</c:v>
                </c:pt>
                <c:pt idx="7">
                  <c:v>38.141952627945614</c:v>
                </c:pt>
              </c:numCache>
            </c:numRef>
          </c:val>
        </c:ser>
        <c:ser>
          <c:idx val="1"/>
          <c:order val="1"/>
          <c:tx>
            <c:strRef>
              <c:f>Charts_EI_Wal!$W$5</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Charts_EI_Wal!$X$5:$AE$5</c:f>
              <c:numCache>
                <c:formatCode>#,##0_ ;\-#,##0\ </c:formatCode>
                <c:ptCount val="8"/>
                <c:pt idx="0">
                  <c:v>44.536568234367117</c:v>
                </c:pt>
                <c:pt idx="1">
                  <c:v>53.532185411593161</c:v>
                </c:pt>
                <c:pt idx="2">
                  <c:v>38.912345613863387</c:v>
                </c:pt>
                <c:pt idx="3">
                  <c:v>30.429553775602258</c:v>
                </c:pt>
                <c:pt idx="4">
                  <c:v>42.445842070253441</c:v>
                </c:pt>
                <c:pt idx="5">
                  <c:v>35.746779745832605</c:v>
                </c:pt>
                <c:pt idx="6">
                  <c:v>25.627554912719013</c:v>
                </c:pt>
                <c:pt idx="7">
                  <c:v>23.176965138781135</c:v>
                </c:pt>
              </c:numCache>
            </c:numRef>
          </c:val>
        </c:ser>
        <c:ser>
          <c:idx val="2"/>
          <c:order val="2"/>
          <c:tx>
            <c:strRef>
              <c:f>Charts_EI_Wal!$W$6</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Charts_EI_Wal!$X$6:$AE$6</c:f>
              <c:numCache>
                <c:formatCode>#,##0_ ;\-#,##0\ </c:formatCode>
                <c:ptCount val="8"/>
                <c:pt idx="0">
                  <c:v>14.522749069503895</c:v>
                </c:pt>
                <c:pt idx="1">
                  <c:v>12.249261755520491</c:v>
                </c:pt>
                <c:pt idx="2">
                  <c:v>13.416128383713678</c:v>
                </c:pt>
                <c:pt idx="3">
                  <c:v>8.7975260078909496</c:v>
                </c:pt>
                <c:pt idx="4">
                  <c:v>8.2155670354697161</c:v>
                </c:pt>
                <c:pt idx="5">
                  <c:v>9.9579423110667786</c:v>
                </c:pt>
                <c:pt idx="6">
                  <c:v>9.5361350899687132</c:v>
                </c:pt>
                <c:pt idx="7">
                  <c:v>9.5617764115765205</c:v>
                </c:pt>
              </c:numCache>
            </c:numRef>
          </c:val>
        </c:ser>
        <c:ser>
          <c:idx val="3"/>
          <c:order val="3"/>
          <c:tx>
            <c:strRef>
              <c:f>Charts_EI_Wal!$W$7</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Charts_EI_Wal!$X$7:$AE$7</c:f>
              <c:numCache>
                <c:formatCode>#,##0_ ;\-#,##0\ </c:formatCode>
                <c:ptCount val="8"/>
                <c:pt idx="0">
                  <c:v>29.813778952476948</c:v>
                </c:pt>
                <c:pt idx="1">
                  <c:v>35.794531067556065</c:v>
                </c:pt>
                <c:pt idx="2">
                  <c:v>30.973100980812013</c:v>
                </c:pt>
                <c:pt idx="3">
                  <c:v>43.818787927288639</c:v>
                </c:pt>
                <c:pt idx="4">
                  <c:v>24.17083341236863</c:v>
                </c:pt>
                <c:pt idx="5">
                  <c:v>34.176380225383603</c:v>
                </c:pt>
                <c:pt idx="6">
                  <c:v>34.963197290494229</c:v>
                </c:pt>
                <c:pt idx="7">
                  <c:v>30.537098447328368</c:v>
                </c:pt>
              </c:numCache>
            </c:numRef>
          </c:val>
        </c:ser>
        <c:ser>
          <c:idx val="4"/>
          <c:order val="4"/>
          <c:tx>
            <c:strRef>
              <c:f>Charts_EI_Wal!$W$8</c:f>
              <c:strCache>
                <c:ptCount val="1"/>
                <c:pt idx="0">
                  <c:v>MBS</c:v>
                </c:pt>
              </c:strCache>
            </c:strRef>
          </c:tx>
          <c:spPr>
            <a:solidFill>
              <a:schemeClr val="accent3"/>
            </a:solidFill>
            <a:ln>
              <a:noFill/>
            </a:ln>
            <a:effectLst/>
          </c:spPr>
          <c:invertIfNegative val="0"/>
          <c:val>
            <c:numRef>
              <c:f>Charts_EI_Wal!$X$8:$AE$8</c:f>
              <c:numCache>
                <c:formatCode>#,##0_ ;\-#,##0\ </c:formatCode>
                <c:ptCount val="8"/>
                <c:pt idx="0">
                  <c:v>6.8708731320353946</c:v>
                </c:pt>
                <c:pt idx="1">
                  <c:v>8.5098026735604808</c:v>
                </c:pt>
                <c:pt idx="2">
                  <c:v>5.9795821153212225</c:v>
                </c:pt>
                <c:pt idx="3">
                  <c:v>5.2561478561035351</c:v>
                </c:pt>
                <c:pt idx="4">
                  <c:v>6.1936717271528794</c:v>
                </c:pt>
                <c:pt idx="5">
                  <c:v>4.7543089686264928</c:v>
                </c:pt>
                <c:pt idx="6">
                  <c:v>3.5887084392700941</c:v>
                </c:pt>
                <c:pt idx="7">
                  <c:v>3.3883338585001228</c:v>
                </c:pt>
              </c:numCache>
            </c:numRef>
          </c:val>
        </c:ser>
        <c:dLbls>
          <c:showLegendKey val="0"/>
          <c:showVal val="0"/>
          <c:showCatName val="0"/>
          <c:showSerName val="0"/>
          <c:showPercent val="0"/>
          <c:showBubbleSize val="0"/>
        </c:dLbls>
        <c:gapWidth val="150"/>
        <c:overlap val="100"/>
        <c:axId val="202297664"/>
        <c:axId val="202298056"/>
      </c:barChart>
      <c:lineChart>
        <c:grouping val="standard"/>
        <c:varyColors val="0"/>
        <c:ser>
          <c:idx val="5"/>
          <c:order val="5"/>
          <c:tx>
            <c:strRef>
              <c:f>Charts_EI_Wal!$W$9</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Charts_EI_Wal!$X$9:$AE$9</c:f>
              <c:numCache>
                <c:formatCode>0.0%</c:formatCode>
                <c:ptCount val="8"/>
                <c:pt idx="0">
                  <c:v>3.5228740845981439E-2</c:v>
                </c:pt>
                <c:pt idx="1">
                  <c:v>3.7794715306866102E-2</c:v>
                </c:pt>
                <c:pt idx="2">
                  <c:v>2.7491777388526786E-2</c:v>
                </c:pt>
                <c:pt idx="3">
                  <c:v>2.2548397250392781E-2</c:v>
                </c:pt>
                <c:pt idx="4">
                  <c:v>2.2177264437468328E-2</c:v>
                </c:pt>
                <c:pt idx="5">
                  <c:v>2.0474278441955655E-2</c:v>
                </c:pt>
                <c:pt idx="6">
                  <c:v>2.1048458137675724E-2</c:v>
                </c:pt>
                <c:pt idx="7">
                  <c:v>1.2375361139079607E-2</c:v>
                </c:pt>
              </c:numCache>
            </c:numRef>
          </c:val>
          <c:smooth val="0"/>
        </c:ser>
        <c:dLbls>
          <c:showLegendKey val="0"/>
          <c:showVal val="0"/>
          <c:showCatName val="0"/>
          <c:showSerName val="0"/>
          <c:showPercent val="0"/>
          <c:showBubbleSize val="0"/>
        </c:dLbls>
        <c:marker val="1"/>
        <c:smooth val="0"/>
        <c:axId val="202298840"/>
        <c:axId val="202298448"/>
      </c:lineChart>
      <c:catAx>
        <c:axId val="20229766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8056"/>
        <c:crosses val="autoZero"/>
        <c:auto val="1"/>
        <c:lblAlgn val="ctr"/>
        <c:lblOffset val="100"/>
        <c:noMultiLvlLbl val="0"/>
      </c:catAx>
      <c:valAx>
        <c:axId val="2022980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7664"/>
        <c:crosses val="autoZero"/>
        <c:crossBetween val="between"/>
      </c:valAx>
      <c:valAx>
        <c:axId val="202298448"/>
        <c:scaling>
          <c:orientation val="minMax"/>
          <c:max val="4.0000000000000008E-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UK Maritime Sector</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8840"/>
        <c:crosses val="max"/>
        <c:crossBetween val="between"/>
      </c:valAx>
      <c:catAx>
        <c:axId val="202298840"/>
        <c:scaling>
          <c:orientation val="minMax"/>
        </c:scaling>
        <c:delete val="1"/>
        <c:axPos val="b"/>
        <c:numFmt formatCode="General" sourceLinked="1"/>
        <c:majorTickMark val="out"/>
        <c:minorTickMark val="none"/>
        <c:tickLblPos val="nextTo"/>
        <c:crossAx val="202298448"/>
        <c:crosses val="autoZero"/>
        <c:auto val="1"/>
        <c:lblAlgn val="ctr"/>
        <c:lblOffset val="100"/>
        <c:noMultiLvlLbl val="0"/>
      </c:catAx>
      <c:spPr>
        <a:noFill/>
        <a:ln>
          <a:noFill/>
        </a:ln>
        <a:effectLst/>
      </c:spPr>
    </c:plotArea>
    <c:legend>
      <c:legendPos val="b"/>
      <c:layout>
        <c:manualLayout>
          <c:xMode val="edge"/>
          <c:yMode val="edge"/>
          <c:x val="4.636360042843219E-2"/>
          <c:y val="0.86662613379507569"/>
          <c:w val="0.84397843295875474"/>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Charts_EI_Wal!$W$11</c:f>
              <c:strCache>
                <c:ptCount val="1"/>
                <c:pt idx="0">
                  <c:v>Shipping</c:v>
                </c:pt>
              </c:strCache>
            </c:strRef>
          </c:tx>
          <c:spPr>
            <a:solidFill>
              <a:schemeClr val="accent1"/>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Charts_EI_Wal!$X$11:$AE$11</c:f>
              <c:numCache>
                <c:formatCode>0.0%</c:formatCode>
                <c:ptCount val="8"/>
                <c:pt idx="0">
                  <c:v>0.61193748797404224</c:v>
                </c:pt>
                <c:pt idx="1">
                  <c:v>0.57306780186121165</c:v>
                </c:pt>
                <c:pt idx="2">
                  <c:v>0.5703072174672108</c:v>
                </c:pt>
                <c:pt idx="3">
                  <c:v>0.51042410977028141</c:v>
                </c:pt>
                <c:pt idx="4">
                  <c:v>0.52816440839772782</c:v>
                </c:pt>
                <c:pt idx="5">
                  <c:v>0.49812793372900299</c:v>
                </c:pt>
                <c:pt idx="6">
                  <c:v>0.54539904576090459</c:v>
                </c:pt>
                <c:pt idx="7">
                  <c:v>0.36392865481695402</c:v>
                </c:pt>
              </c:numCache>
            </c:numRef>
          </c:val>
        </c:ser>
        <c:ser>
          <c:idx val="1"/>
          <c:order val="1"/>
          <c:tx>
            <c:strRef>
              <c:f>Charts_EI_Wal!$W$12</c:f>
              <c:strCache>
                <c:ptCount val="1"/>
                <c:pt idx="0">
                  <c:v>Ports</c:v>
                </c:pt>
              </c:strCache>
            </c:strRef>
          </c:tx>
          <c:spPr>
            <a:solidFill>
              <a:schemeClr val="accent2"/>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Charts_EI_Wal!$X$12:$AE$12</c:f>
              <c:numCache>
                <c:formatCode>0.0%</c:formatCode>
                <c:ptCount val="8"/>
                <c:pt idx="0">
                  <c:v>0.18051238794932314</c:v>
                </c:pt>
                <c:pt idx="1">
                  <c:v>0.20760731677051664</c:v>
                </c:pt>
                <c:pt idx="2">
                  <c:v>0.18727752423894667</c:v>
                </c:pt>
                <c:pt idx="3">
                  <c:v>0.16871161754738467</c:v>
                </c:pt>
                <c:pt idx="4">
                  <c:v>0.24717350233971636</c:v>
                </c:pt>
                <c:pt idx="5">
                  <c:v>0.21197167885661389</c:v>
                </c:pt>
                <c:pt idx="6">
                  <c:v>0.15804404485071574</c:v>
                </c:pt>
                <c:pt idx="7">
                  <c:v>0.22114131984727303</c:v>
                </c:pt>
              </c:numCache>
            </c:numRef>
          </c:val>
        </c:ser>
        <c:ser>
          <c:idx val="2"/>
          <c:order val="2"/>
          <c:tx>
            <c:strRef>
              <c:f>Charts_EI_Wal!$W$13</c:f>
              <c:strCache>
                <c:ptCount val="1"/>
                <c:pt idx="0">
                  <c:v>Leisure Marine</c:v>
                </c:pt>
              </c:strCache>
            </c:strRef>
          </c:tx>
          <c:spPr>
            <a:solidFill>
              <a:schemeClr val="accent4"/>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Charts_EI_Wal!$X$13:$AE$13</c:f>
              <c:numCache>
                <c:formatCode>0.0%</c:formatCode>
                <c:ptCount val="8"/>
                <c:pt idx="0">
                  <c:v>5.8862553134527831E-2</c:v>
                </c:pt>
                <c:pt idx="1">
                  <c:v>4.7504811281860848E-2</c:v>
                </c:pt>
                <c:pt idx="2">
                  <c:v>6.4569207251248581E-2</c:v>
                </c:pt>
                <c:pt idx="3">
                  <c:v>4.8776424858273881E-2</c:v>
                </c:pt>
                <c:pt idx="4">
                  <c:v>4.7841446389560234E-2</c:v>
                </c:pt>
                <c:pt idx="5">
                  <c:v>5.904872451847118E-2</c:v>
                </c:pt>
                <c:pt idx="6">
                  <c:v>5.8808940883919747E-2</c:v>
                </c:pt>
                <c:pt idx="7">
                  <c:v>9.1232991165113103E-2</c:v>
                </c:pt>
              </c:numCache>
            </c:numRef>
          </c:val>
        </c:ser>
        <c:ser>
          <c:idx val="3"/>
          <c:order val="3"/>
          <c:tx>
            <c:strRef>
              <c:f>Charts_EI_Wal!$W$14</c:f>
              <c:strCache>
                <c:ptCount val="1"/>
                <c:pt idx="0">
                  <c:v>Marine Engineering</c:v>
                </c:pt>
              </c:strCache>
            </c:strRef>
          </c:tx>
          <c:spPr>
            <a:solidFill>
              <a:schemeClr val="accent5">
                <a:lumMod val="40000"/>
                <a:lumOff val="60000"/>
              </a:schemeClr>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Charts_EI_Wal!$X$14:$AE$14</c:f>
              <c:numCache>
                <c:formatCode>0.0%</c:formatCode>
                <c:ptCount val="8"/>
                <c:pt idx="0">
                  <c:v>0.12083904633568049</c:v>
                </c:pt>
                <c:pt idx="1">
                  <c:v>0.13881754486311101</c:v>
                </c:pt>
                <c:pt idx="2">
                  <c:v>0.14906748946079429</c:v>
                </c:pt>
                <c:pt idx="3">
                  <c:v>0.24294600718417408</c:v>
                </c:pt>
                <c:pt idx="4">
                  <c:v>0.1407532341829052</c:v>
                </c:pt>
                <c:pt idx="5">
                  <c:v>0.20265950513937148</c:v>
                </c:pt>
                <c:pt idx="6">
                  <c:v>0.2156165556769859</c:v>
                </c:pt>
                <c:pt idx="7">
                  <c:v>0.29136749416983609</c:v>
                </c:pt>
              </c:numCache>
            </c:numRef>
          </c:val>
        </c:ser>
        <c:ser>
          <c:idx val="4"/>
          <c:order val="4"/>
          <c:tx>
            <c:strRef>
              <c:f>Charts_EI_Wal!$W$15</c:f>
              <c:strCache>
                <c:ptCount val="1"/>
                <c:pt idx="0">
                  <c:v>MBS</c:v>
                </c:pt>
              </c:strCache>
            </c:strRef>
          </c:tx>
          <c:spPr>
            <a:solidFill>
              <a:schemeClr val="accent3"/>
            </a:solidFill>
            <a:ln>
              <a:noFill/>
            </a:ln>
            <a:effectLst/>
          </c:spPr>
          <c:invertIfNegative val="0"/>
          <c:cat>
            <c:numRef>
              <c:f>Charts_EI_Wal!$X$3:$AE$3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Charts_EI_Wal!$X$15:$AE$15</c:f>
              <c:numCache>
                <c:formatCode>0.0%</c:formatCode>
                <c:ptCount val="8"/>
                <c:pt idx="0">
                  <c:v>2.7848524606426246E-2</c:v>
                </c:pt>
                <c:pt idx="1">
                  <c:v>3.300252522329971E-2</c:v>
                </c:pt>
                <c:pt idx="2">
                  <c:v>2.8778561581799735E-2</c:v>
                </c:pt>
                <c:pt idx="3">
                  <c:v>2.9141840639886105E-2</c:v>
                </c:pt>
                <c:pt idx="4">
                  <c:v>3.6067408690090251E-2</c:v>
                </c:pt>
                <c:pt idx="5">
                  <c:v>2.819215775654035E-2</c:v>
                </c:pt>
                <c:pt idx="6">
                  <c:v>2.2131412827474037E-2</c:v>
                </c:pt>
                <c:pt idx="7">
                  <c:v>3.2329540000823671E-2</c:v>
                </c:pt>
              </c:numCache>
            </c:numRef>
          </c:val>
        </c:ser>
        <c:dLbls>
          <c:showLegendKey val="0"/>
          <c:showVal val="0"/>
          <c:showCatName val="0"/>
          <c:showSerName val="0"/>
          <c:showPercent val="0"/>
          <c:showBubbleSize val="0"/>
        </c:dLbls>
        <c:gapWidth val="150"/>
        <c:overlap val="100"/>
        <c:axId val="202299624"/>
        <c:axId val="202300016"/>
      </c:barChart>
      <c:catAx>
        <c:axId val="2022996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300016"/>
        <c:crosses val="autoZero"/>
        <c:auto val="1"/>
        <c:lblAlgn val="ctr"/>
        <c:lblOffset val="100"/>
        <c:noMultiLvlLbl val="0"/>
      </c:catAx>
      <c:valAx>
        <c:axId val="202300016"/>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962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4"/>
          <c:order val="0"/>
          <c:tx>
            <c:strRef>
              <c:f>Charts_Other_Wal!$B$21</c:f>
              <c:strCache>
                <c:ptCount val="1"/>
                <c:pt idx="0">
                  <c:v>Shipping</c:v>
                </c:pt>
              </c:strCache>
            </c:strRef>
          </c:tx>
          <c:spPr>
            <a:solidFill>
              <a:schemeClr val="accent1"/>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Charts_Other_Wal!$C$21:$J$21</c:f>
              <c:numCache>
                <c:formatCode>#,##0_ ;\-#,##0\ </c:formatCode>
                <c:ptCount val="8"/>
                <c:pt idx="0">
                  <c:v>57.51998289409191</c:v>
                </c:pt>
                <c:pt idx="1">
                  <c:v>64.75001935955413</c:v>
                </c:pt>
                <c:pt idx="2">
                  <c:v>61.429265119614527</c:v>
                </c:pt>
                <c:pt idx="3">
                  <c:v>72.35539211563983</c:v>
                </c:pt>
                <c:pt idx="4">
                  <c:v>54.383379492502854</c:v>
                </c:pt>
                <c:pt idx="5">
                  <c:v>67.556485831288754</c:v>
                </c:pt>
                <c:pt idx="6">
                  <c:v>63.535469005976339</c:v>
                </c:pt>
                <c:pt idx="7">
                  <c:v>38.283936947093807</c:v>
                </c:pt>
              </c:numCache>
            </c:numRef>
          </c:val>
        </c:ser>
        <c:ser>
          <c:idx val="2"/>
          <c:order val="1"/>
          <c:tx>
            <c:strRef>
              <c:f>Charts_Other_Wal!$B$22</c:f>
              <c:strCache>
                <c:ptCount val="1"/>
                <c:pt idx="0">
                  <c:v>Ports</c:v>
                </c:pt>
              </c:strCache>
            </c:strRef>
          </c:tx>
          <c:spPr>
            <a:solidFill>
              <a:schemeClr val="accent2"/>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Charts_Other_Wal!$C$22:$J$22</c:f>
              <c:numCache>
                <c:formatCode>#,##0_ ;\-#,##0\ </c:formatCode>
                <c:ptCount val="8"/>
                <c:pt idx="0">
                  <c:v>13.840964723932865</c:v>
                </c:pt>
                <c:pt idx="1">
                  <c:v>16.797362288207388</c:v>
                </c:pt>
                <c:pt idx="2">
                  <c:v>13.560634553427068</c:v>
                </c:pt>
                <c:pt idx="3">
                  <c:v>12.418591482304404</c:v>
                </c:pt>
                <c:pt idx="4">
                  <c:v>19.433171603200158</c:v>
                </c:pt>
                <c:pt idx="5">
                  <c:v>13.26042328494149</c:v>
                </c:pt>
                <c:pt idx="6">
                  <c:v>10.287498331257368</c:v>
                </c:pt>
                <c:pt idx="7">
                  <c:v>8.4728754806385798</c:v>
                </c:pt>
              </c:numCache>
            </c:numRef>
          </c:val>
        </c:ser>
        <c:ser>
          <c:idx val="1"/>
          <c:order val="2"/>
          <c:tx>
            <c:strRef>
              <c:f>Charts_Other_Wal!$B$23</c:f>
              <c:strCache>
                <c:ptCount val="1"/>
                <c:pt idx="0">
                  <c:v>Leisure Marine</c:v>
                </c:pt>
              </c:strCache>
            </c:strRef>
          </c:tx>
          <c:spPr>
            <a:solidFill>
              <a:schemeClr val="accent4"/>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Charts_Other_Wal!$C$23:$J$23</c:f>
              <c:numCache>
                <c:formatCode>#,##0_ ;\-#,##0\ </c:formatCode>
                <c:ptCount val="8"/>
                <c:pt idx="0">
                  <c:v>18.32477547765366</c:v>
                </c:pt>
                <c:pt idx="1">
                  <c:v>16.417197559992594</c:v>
                </c:pt>
                <c:pt idx="2">
                  <c:v>18.191451413437942</c:v>
                </c:pt>
                <c:pt idx="3">
                  <c:v>10.75894861860592</c:v>
                </c:pt>
                <c:pt idx="4">
                  <c:v>9.1855844950211392</c:v>
                </c:pt>
                <c:pt idx="5">
                  <c:v>11.170413947608653</c:v>
                </c:pt>
                <c:pt idx="6">
                  <c:v>11.500826285566257</c:v>
                </c:pt>
                <c:pt idx="7">
                  <c:v>9.229976101733337</c:v>
                </c:pt>
              </c:numCache>
            </c:numRef>
          </c:val>
        </c:ser>
        <c:ser>
          <c:idx val="3"/>
          <c:order val="3"/>
          <c:tx>
            <c:strRef>
              <c:f>Charts_Other_Wal!$B$24</c:f>
              <c:strCache>
                <c:ptCount val="1"/>
                <c:pt idx="0">
                  <c:v>Marine Engineering</c:v>
                </c:pt>
              </c:strCache>
            </c:strRef>
          </c:tx>
          <c:spPr>
            <a:solidFill>
              <a:schemeClr val="accent5">
                <a:lumMod val="40000"/>
                <a:lumOff val="60000"/>
              </a:schemeClr>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Charts_Other_Wal!$C$24:$J$24</c:f>
              <c:numCache>
                <c:formatCode>#,##0_ ;\-#,##0\ </c:formatCode>
                <c:ptCount val="8"/>
                <c:pt idx="0">
                  <c:v>27.07588476105348</c:v>
                </c:pt>
                <c:pt idx="1">
                  <c:v>33.92945043425847</c:v>
                </c:pt>
                <c:pt idx="2">
                  <c:v>26.861298265241953</c:v>
                </c:pt>
                <c:pt idx="3">
                  <c:v>40.088305427701044</c:v>
                </c:pt>
                <c:pt idx="4">
                  <c:v>30.515946547203246</c:v>
                </c:pt>
                <c:pt idx="5">
                  <c:v>35.425389686833157</c:v>
                </c:pt>
                <c:pt idx="6">
                  <c:v>36.545891481785922</c:v>
                </c:pt>
                <c:pt idx="7">
                  <c:v>32.910510244197454</c:v>
                </c:pt>
              </c:numCache>
            </c:numRef>
          </c:val>
        </c:ser>
        <c:ser>
          <c:idx val="5"/>
          <c:order val="4"/>
          <c:tx>
            <c:strRef>
              <c:f>Charts_Other_Wal!$B$25</c:f>
              <c:strCache>
                <c:ptCount val="1"/>
                <c:pt idx="0">
                  <c:v>MBS</c:v>
                </c:pt>
              </c:strCache>
            </c:strRef>
          </c:tx>
          <c:spPr>
            <a:solidFill>
              <a:schemeClr val="accent3"/>
            </a:solidFill>
            <a:ln>
              <a:noFill/>
            </a:ln>
            <a:effectLst/>
          </c:spPr>
          <c:invertIfNegative val="0"/>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Charts_Other_Wal!$C$25:$J$25</c:f>
              <c:numCache>
                <c:formatCode>#,##0_ ;\-#,##0\ </c:formatCode>
                <c:ptCount val="8"/>
                <c:pt idx="0">
                  <c:v>7.3145788414263091</c:v>
                </c:pt>
                <c:pt idx="1">
                  <c:v>8.8288282689927033</c:v>
                </c:pt>
                <c:pt idx="2">
                  <c:v>6.7521506762935548</c:v>
                </c:pt>
                <c:pt idx="3">
                  <c:v>5.9708267999348958</c:v>
                </c:pt>
                <c:pt idx="4">
                  <c:v>8.5164788601665347</c:v>
                </c:pt>
                <c:pt idx="5">
                  <c:v>6.2641970713863531</c:v>
                </c:pt>
                <c:pt idx="6">
                  <c:v>5.037857774680246</c:v>
                </c:pt>
                <c:pt idx="7">
                  <c:v>4.6334874832597333</c:v>
                </c:pt>
              </c:numCache>
            </c:numRef>
          </c:val>
        </c:ser>
        <c:dLbls>
          <c:showLegendKey val="0"/>
          <c:showVal val="0"/>
          <c:showCatName val="0"/>
          <c:showSerName val="0"/>
          <c:showPercent val="0"/>
          <c:showBubbleSize val="0"/>
        </c:dLbls>
        <c:gapWidth val="150"/>
        <c:overlap val="100"/>
        <c:axId val="620257032"/>
        <c:axId val="620257424"/>
      </c:barChart>
      <c:lineChart>
        <c:grouping val="standard"/>
        <c:varyColors val="0"/>
        <c:ser>
          <c:idx val="6"/>
          <c:order val="5"/>
          <c:tx>
            <c:strRef>
              <c:f>Charts_Other_Wal!$B$27</c:f>
              <c:strCache>
                <c:ptCount val="1"/>
                <c:pt idx="0">
                  <c:v>as % UK Maritime Sector (RHS)</c:v>
                </c:pt>
              </c:strCache>
            </c:strRef>
          </c:tx>
          <c:spPr>
            <a:ln w="28575" cap="rnd">
              <a:solidFill>
                <a:srgbClr val="C00000"/>
              </a:solidFill>
              <a:round/>
            </a:ln>
            <a:effectLst/>
          </c:spPr>
          <c:marker>
            <c:symbol val="none"/>
          </c:marker>
          <c:cat>
            <c:numRef>
              <c:f>Charts_Other_Wal!$C$20:$J$20</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Charts_Other_Wal!$C$27:$J$27</c:f>
              <c:numCache>
                <c:formatCode>0.00%</c:formatCode>
                <c:ptCount val="8"/>
                <c:pt idx="0">
                  <c:v>2.8448586396937932E-2</c:v>
                </c:pt>
                <c:pt idx="1">
                  <c:v>3.1728312813363642E-2</c:v>
                </c:pt>
                <c:pt idx="2">
                  <c:v>2.6499937531112995E-2</c:v>
                </c:pt>
                <c:pt idx="3">
                  <c:v>2.784298996487149E-2</c:v>
                </c:pt>
                <c:pt idx="4">
                  <c:v>2.2852671440358841E-2</c:v>
                </c:pt>
                <c:pt idx="5">
                  <c:v>2.6732383700868518E-2</c:v>
                </c:pt>
                <c:pt idx="6">
                  <c:v>2.4824225361957272E-2</c:v>
                </c:pt>
                <c:pt idx="7">
                  <c:v>1.8014477343877573E-2</c:v>
                </c:pt>
              </c:numCache>
            </c:numRef>
          </c:val>
          <c:smooth val="0"/>
        </c:ser>
        <c:dLbls>
          <c:showLegendKey val="0"/>
          <c:showVal val="0"/>
          <c:showCatName val="0"/>
          <c:showSerName val="0"/>
          <c:showPercent val="0"/>
          <c:showBubbleSize val="0"/>
        </c:dLbls>
        <c:marker val="1"/>
        <c:smooth val="0"/>
        <c:axId val="620258208"/>
        <c:axId val="620257816"/>
      </c:lineChart>
      <c:catAx>
        <c:axId val="620257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7424"/>
        <c:crosses val="autoZero"/>
        <c:auto val="1"/>
        <c:lblAlgn val="ctr"/>
        <c:lblOffset val="100"/>
        <c:noMultiLvlLbl val="0"/>
      </c:catAx>
      <c:valAx>
        <c:axId val="6202574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7032"/>
        <c:crosses val="autoZero"/>
        <c:crossBetween val="between"/>
      </c:valAx>
      <c:valAx>
        <c:axId val="62025781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0258208"/>
        <c:crosses val="max"/>
        <c:crossBetween val="between"/>
      </c:valAx>
      <c:catAx>
        <c:axId val="620258208"/>
        <c:scaling>
          <c:orientation val="minMax"/>
        </c:scaling>
        <c:delete val="1"/>
        <c:axPos val="b"/>
        <c:numFmt formatCode="General" sourceLinked="1"/>
        <c:majorTickMark val="out"/>
        <c:minorTickMark val="none"/>
        <c:tickLblPos val="nextTo"/>
        <c:crossAx val="620257816"/>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Charts_Other_Wal!$B$4</c:f>
              <c:strCache>
                <c:ptCount val="1"/>
                <c:pt idx="0">
                  <c:v>Income Tax</c:v>
                </c:pt>
              </c:strCache>
            </c:strRef>
          </c:tx>
          <c:spPr>
            <a:solidFill>
              <a:schemeClr val="accent1"/>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Charts_Other_Wal!$C$4:$J$4</c:f>
              <c:numCache>
                <c:formatCode>#,##0_ ;\-#,##0\ </c:formatCode>
                <c:ptCount val="8"/>
                <c:pt idx="0">
                  <c:v>33.715766004774245</c:v>
                </c:pt>
                <c:pt idx="1">
                  <c:v>35.427864263703924</c:v>
                </c:pt>
                <c:pt idx="2">
                  <c:v>31.855414583232854</c:v>
                </c:pt>
                <c:pt idx="3">
                  <c:v>35.89936068819209</c:v>
                </c:pt>
                <c:pt idx="4">
                  <c:v>27.997049299055991</c:v>
                </c:pt>
                <c:pt idx="5">
                  <c:v>31.95256137876137</c:v>
                </c:pt>
                <c:pt idx="6">
                  <c:v>28.227178218210135</c:v>
                </c:pt>
                <c:pt idx="7">
                  <c:v>19.354216929492932</c:v>
                </c:pt>
              </c:numCache>
            </c:numRef>
          </c:val>
        </c:ser>
        <c:ser>
          <c:idx val="2"/>
          <c:order val="1"/>
          <c:tx>
            <c:strRef>
              <c:f>Charts_Other_Wal!$B$5</c:f>
              <c:strCache>
                <c:ptCount val="1"/>
                <c:pt idx="0">
                  <c:v>NICs</c:v>
                </c:pt>
              </c:strCache>
            </c:strRef>
          </c:tx>
          <c:spPr>
            <a:solidFill>
              <a:schemeClr val="accent2"/>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Charts_Other_Wal!$C$5:$J$5</c:f>
              <c:numCache>
                <c:formatCode>#,##0_ ;\-#,##0\ </c:formatCode>
                <c:ptCount val="8"/>
                <c:pt idx="0">
                  <c:v>40.249053529217832</c:v>
                </c:pt>
                <c:pt idx="1">
                  <c:v>44.118119105259844</c:v>
                </c:pt>
                <c:pt idx="2">
                  <c:v>37.344982279156916</c:v>
                </c:pt>
                <c:pt idx="3">
                  <c:v>43.296379081256958</c:v>
                </c:pt>
                <c:pt idx="4">
                  <c:v>34.893343494487468</c:v>
                </c:pt>
                <c:pt idx="5">
                  <c:v>40.37734429330002</c:v>
                </c:pt>
                <c:pt idx="6">
                  <c:v>36.191739494553687</c:v>
                </c:pt>
                <c:pt idx="7">
                  <c:v>25.518526140123232</c:v>
                </c:pt>
              </c:numCache>
            </c:numRef>
          </c:val>
        </c:ser>
        <c:ser>
          <c:idx val="1"/>
          <c:order val="2"/>
          <c:tx>
            <c:strRef>
              <c:f>Charts_Other_Wal!$B$6</c:f>
              <c:strCache>
                <c:ptCount val="1"/>
                <c:pt idx="0">
                  <c:v>VAT</c:v>
                </c:pt>
              </c:strCache>
            </c:strRef>
          </c:tx>
          <c:spPr>
            <a:solidFill>
              <a:schemeClr val="accent4"/>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Charts_Other_Wal!$C$6:$J$6</c:f>
              <c:numCache>
                <c:formatCode>#,##0_ ;\-#,##0\ </c:formatCode>
                <c:ptCount val="8"/>
                <c:pt idx="0">
                  <c:v>29.459390436092882</c:v>
                </c:pt>
                <c:pt idx="1">
                  <c:v>33.029345969190878</c:v>
                </c:pt>
                <c:pt idx="2">
                  <c:v>29.970859816212155</c:v>
                </c:pt>
                <c:pt idx="3">
                  <c:v>29.983170734703524</c:v>
                </c:pt>
                <c:pt idx="4">
                  <c:v>26.857476406064794</c:v>
                </c:pt>
                <c:pt idx="5">
                  <c:v>28.7217728520537</c:v>
                </c:pt>
                <c:pt idx="6">
                  <c:v>28.42466090729965</c:v>
                </c:pt>
                <c:pt idx="7">
                  <c:v>27.257121406412676</c:v>
                </c:pt>
              </c:numCache>
            </c:numRef>
          </c:val>
        </c:ser>
        <c:ser>
          <c:idx val="3"/>
          <c:order val="3"/>
          <c:tx>
            <c:strRef>
              <c:f>Charts_Other_Wal!$B$7</c:f>
              <c:strCache>
                <c:ptCount val="1"/>
                <c:pt idx="0">
                  <c:v>Corporation Tax</c:v>
                </c:pt>
              </c:strCache>
            </c:strRef>
          </c:tx>
          <c:spPr>
            <a:solidFill>
              <a:schemeClr val="accent5">
                <a:lumMod val="40000"/>
                <a:lumOff val="60000"/>
              </a:schemeClr>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Charts_Other_Wal!$C$7:$J$7</c:f>
              <c:numCache>
                <c:formatCode>#,##0_ ;\-#,##0\ </c:formatCode>
                <c:ptCount val="8"/>
                <c:pt idx="0">
                  <c:v>16.257371717856127</c:v>
                </c:pt>
                <c:pt idx="1">
                  <c:v>22.06292601086685</c:v>
                </c:pt>
                <c:pt idx="2">
                  <c:v>21.837162442996277</c:v>
                </c:pt>
                <c:pt idx="3">
                  <c:v>27.521735044705164</c:v>
                </c:pt>
                <c:pt idx="4">
                  <c:v>25.18254991028379</c:v>
                </c:pt>
                <c:pt idx="5">
                  <c:v>27.958518690074328</c:v>
                </c:pt>
                <c:pt idx="6">
                  <c:v>29.964828336147452</c:v>
                </c:pt>
                <c:pt idx="7">
                  <c:v>18.090939405270678</c:v>
                </c:pt>
              </c:numCache>
            </c:numRef>
          </c:val>
        </c:ser>
        <c:ser>
          <c:idx val="4"/>
          <c:order val="4"/>
          <c:tx>
            <c:strRef>
              <c:f>Charts_Other_Wal!$B$8</c:f>
              <c:strCache>
                <c:ptCount val="1"/>
                <c:pt idx="0">
                  <c:v>Business Rates</c:v>
                </c:pt>
              </c:strCache>
            </c:strRef>
          </c:tx>
          <c:spPr>
            <a:solidFill>
              <a:schemeClr val="accent3"/>
            </a:solidFill>
            <a:ln>
              <a:noFill/>
            </a:ln>
            <a:effectLst/>
          </c:spPr>
          <c:invertIfNegative val="0"/>
          <c:cat>
            <c:numRef>
              <c:f>Charts_Other_Wal!$C$3:$J$3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Charts_Other_Wal!$C$8:$J$8</c:f>
              <c:numCache>
                <c:formatCode>#,##0_ ;\-#,##0\ </c:formatCode>
                <c:ptCount val="8"/>
                <c:pt idx="0">
                  <c:v>4.3946050102171581</c:v>
                </c:pt>
                <c:pt idx="1">
                  <c:v>6.0846025619837949</c:v>
                </c:pt>
                <c:pt idx="2">
                  <c:v>5.7863809064168414</c:v>
                </c:pt>
                <c:pt idx="3">
                  <c:v>4.891418895328365</c:v>
                </c:pt>
                <c:pt idx="4">
                  <c:v>7.1041418882018901</c:v>
                </c:pt>
                <c:pt idx="5">
                  <c:v>4.6667126078690027</c:v>
                </c:pt>
                <c:pt idx="6">
                  <c:v>4.099135923055182</c:v>
                </c:pt>
                <c:pt idx="7">
                  <c:v>3.3099823756233819</c:v>
                </c:pt>
              </c:numCache>
            </c:numRef>
          </c:val>
        </c:ser>
        <c:dLbls>
          <c:showLegendKey val="0"/>
          <c:showVal val="0"/>
          <c:showCatName val="0"/>
          <c:showSerName val="0"/>
          <c:showPercent val="0"/>
          <c:showBubbleSize val="0"/>
        </c:dLbls>
        <c:gapWidth val="150"/>
        <c:overlap val="100"/>
        <c:axId val="641271816"/>
        <c:axId val="641272208"/>
      </c:barChart>
      <c:catAx>
        <c:axId val="641271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272208"/>
        <c:crosses val="autoZero"/>
        <c:auto val="1"/>
        <c:lblAlgn val="ctr"/>
        <c:lblOffset val="100"/>
        <c:noMultiLvlLbl val="0"/>
      </c:catAx>
      <c:valAx>
        <c:axId val="64127220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4127181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80336832895888"/>
          <c:y val="5.0925925925925923E-2"/>
          <c:w val="0.8053788122129717"/>
          <c:h val="0.70859092448063621"/>
        </c:manualLayout>
      </c:layout>
      <c:barChart>
        <c:barDir val="col"/>
        <c:grouping val="stacked"/>
        <c:varyColors val="0"/>
        <c:ser>
          <c:idx val="0"/>
          <c:order val="0"/>
          <c:tx>
            <c:strRef>
              <c:f>Charts_Other_Wal!$B$38</c:f>
              <c:strCache>
                <c:ptCount val="1"/>
                <c:pt idx="0">
                  <c:v>Shipping</c:v>
                </c:pt>
              </c:strCache>
            </c:strRef>
          </c:tx>
          <c:spPr>
            <a:solidFill>
              <a:schemeClr val="accent1"/>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Charts_Other_Wal!$C$38:$J$38</c:f>
              <c:numCache>
                <c:formatCode>#,##0_ ;\-#,##0\ </c:formatCode>
                <c:ptCount val="8"/>
                <c:pt idx="0">
                  <c:v>370.94898158536608</c:v>
                </c:pt>
                <c:pt idx="1">
                  <c:v>627.54738493402306</c:v>
                </c:pt>
                <c:pt idx="2">
                  <c:v>592.73061295237005</c:v>
                </c:pt>
                <c:pt idx="3">
                  <c:v>288.50880160531045</c:v>
                </c:pt>
                <c:pt idx="4">
                  <c:v>264.80395189433187</c:v>
                </c:pt>
                <c:pt idx="5">
                  <c:v>232.11527276033519</c:v>
                </c:pt>
                <c:pt idx="6">
                  <c:v>163.01037834308676</c:v>
                </c:pt>
                <c:pt idx="7">
                  <c:v>71.871505162148466</c:v>
                </c:pt>
              </c:numCache>
            </c:numRef>
          </c:val>
        </c:ser>
        <c:ser>
          <c:idx val="1"/>
          <c:order val="1"/>
          <c:tx>
            <c:strRef>
              <c:f>Charts_Other_Wal!$B$39</c:f>
              <c:strCache>
                <c:ptCount val="1"/>
                <c:pt idx="0">
                  <c:v>Ports</c:v>
                </c:pt>
              </c:strCache>
            </c:strRef>
          </c:tx>
          <c:spPr>
            <a:solidFill>
              <a:schemeClr val="accent2"/>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Charts_Other_Wal!$C$39:$J$39</c:f>
              <c:numCache>
                <c:formatCode>#,##0_ ;\-#,##0\ </c:formatCode>
                <c:ptCount val="8"/>
                <c:pt idx="0">
                  <c:v>71.918810391921966</c:v>
                </c:pt>
                <c:pt idx="1">
                  <c:v>103.10230121752963</c:v>
                </c:pt>
                <c:pt idx="2">
                  <c:v>88.79634807615777</c:v>
                </c:pt>
                <c:pt idx="3">
                  <c:v>65.605968755149263</c:v>
                </c:pt>
                <c:pt idx="4">
                  <c:v>104.96789682614869</c:v>
                </c:pt>
                <c:pt idx="5">
                  <c:v>92.760487055170771</c:v>
                </c:pt>
                <c:pt idx="6">
                  <c:v>43.168730441728449</c:v>
                </c:pt>
                <c:pt idx="7">
                  <c:v>42.970735960789341</c:v>
                </c:pt>
              </c:numCache>
            </c:numRef>
          </c:val>
        </c:ser>
        <c:ser>
          <c:idx val="2"/>
          <c:order val="2"/>
          <c:tx>
            <c:strRef>
              <c:f>Charts_Other_Wal!$B$40</c:f>
              <c:strCache>
                <c:ptCount val="1"/>
                <c:pt idx="0">
                  <c:v>Leisure Marine</c:v>
                </c:pt>
              </c:strCache>
            </c:strRef>
          </c:tx>
          <c:spPr>
            <a:solidFill>
              <a:schemeClr val="accent4"/>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Charts_Other_Wal!$C$40:$J$40</c:f>
              <c:numCache>
                <c:formatCode>#,##0_ ;\-#,##0\ </c:formatCode>
                <c:ptCount val="8"/>
                <c:pt idx="0">
                  <c:v>7.3081595070693561</c:v>
                </c:pt>
                <c:pt idx="1">
                  <c:v>4.6642360992950378</c:v>
                </c:pt>
                <c:pt idx="2">
                  <c:v>5.981109645057896</c:v>
                </c:pt>
                <c:pt idx="3">
                  <c:v>2.4515305267479173</c:v>
                </c:pt>
                <c:pt idx="4">
                  <c:v>4.054828134862249</c:v>
                </c:pt>
                <c:pt idx="5">
                  <c:v>4.9262428750869862</c:v>
                </c:pt>
                <c:pt idx="6">
                  <c:v>4.9551480438055346</c:v>
                </c:pt>
                <c:pt idx="7">
                  <c:v>0.50589718003941786</c:v>
                </c:pt>
              </c:numCache>
            </c:numRef>
          </c:val>
        </c:ser>
        <c:ser>
          <c:idx val="3"/>
          <c:order val="3"/>
          <c:tx>
            <c:strRef>
              <c:f>Charts_Other_Wal!$B$41</c:f>
              <c:strCache>
                <c:ptCount val="1"/>
                <c:pt idx="0">
                  <c:v>Marine Engineering</c:v>
                </c:pt>
              </c:strCache>
            </c:strRef>
          </c:tx>
          <c:spPr>
            <a:solidFill>
              <a:schemeClr val="accent5">
                <a:lumMod val="40000"/>
                <a:lumOff val="60000"/>
              </a:schemeClr>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Charts_Other_Wal!$C$41:$J$41</c:f>
              <c:numCache>
                <c:formatCode>#,##0_ ;\-#,##0\ </c:formatCode>
                <c:ptCount val="8"/>
                <c:pt idx="0">
                  <c:v>21.295893493092588</c:v>
                </c:pt>
                <c:pt idx="1">
                  <c:v>24.512997058110173</c:v>
                </c:pt>
                <c:pt idx="2">
                  <c:v>15.587799686753746</c:v>
                </c:pt>
                <c:pt idx="3">
                  <c:v>22.90345219374025</c:v>
                </c:pt>
                <c:pt idx="4">
                  <c:v>18.216472078282713</c:v>
                </c:pt>
                <c:pt idx="5">
                  <c:v>21.816136146379751</c:v>
                </c:pt>
                <c:pt idx="6">
                  <c:v>27.683949284919183</c:v>
                </c:pt>
                <c:pt idx="7">
                  <c:v>16.126704261321109</c:v>
                </c:pt>
              </c:numCache>
            </c:numRef>
          </c:val>
        </c:ser>
        <c:ser>
          <c:idx val="4"/>
          <c:order val="4"/>
          <c:tx>
            <c:strRef>
              <c:f>Charts_Other_Wal!$B$42</c:f>
              <c:strCache>
                <c:ptCount val="1"/>
                <c:pt idx="0">
                  <c:v>MBS</c:v>
                </c:pt>
              </c:strCache>
            </c:strRef>
          </c:tx>
          <c:spPr>
            <a:solidFill>
              <a:schemeClr val="accent3"/>
            </a:solidFill>
            <a:ln>
              <a:noFill/>
            </a:ln>
            <a:effectLst/>
          </c:spPr>
          <c:invertIfNegative val="0"/>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Charts_Other_Wal!$C$42:$J$42</c:f>
              <c:numCache>
                <c:formatCode>#,##0_ ;\-#,##0\ </c:formatCode>
                <c:ptCount val="8"/>
                <c:pt idx="0">
                  <c:v>2.5808744999481279</c:v>
                </c:pt>
                <c:pt idx="1">
                  <c:v>3.3590118919939007</c:v>
                </c:pt>
                <c:pt idx="2">
                  <c:v>2.6779643671538453</c:v>
                </c:pt>
                <c:pt idx="3">
                  <c:v>2.3466096491625663</c:v>
                </c:pt>
                <c:pt idx="4">
                  <c:v>3.8603483893836752</c:v>
                </c:pt>
                <c:pt idx="5">
                  <c:v>2.6436082513005252</c:v>
                </c:pt>
                <c:pt idx="6">
                  <c:v>2.2229417578750055</c:v>
                </c:pt>
                <c:pt idx="7">
                  <c:v>2.0594653116863051</c:v>
                </c:pt>
              </c:numCache>
            </c:numRef>
          </c:val>
        </c:ser>
        <c:dLbls>
          <c:showLegendKey val="0"/>
          <c:showVal val="0"/>
          <c:showCatName val="0"/>
          <c:showSerName val="0"/>
          <c:showPercent val="0"/>
          <c:showBubbleSize val="0"/>
        </c:dLbls>
        <c:gapWidth val="150"/>
        <c:overlap val="100"/>
        <c:axId val="202961336"/>
        <c:axId val="202961728"/>
      </c:barChart>
      <c:lineChart>
        <c:grouping val="standard"/>
        <c:varyColors val="0"/>
        <c:ser>
          <c:idx val="6"/>
          <c:order val="5"/>
          <c:tx>
            <c:strRef>
              <c:f>Charts_Other_Wal!$B$44</c:f>
              <c:strCache>
                <c:ptCount val="1"/>
                <c:pt idx="0">
                  <c:v>as % UK Maritime Sector (RHS)</c:v>
                </c:pt>
              </c:strCache>
            </c:strRef>
          </c:tx>
          <c:spPr>
            <a:ln w="28575" cap="rnd">
              <a:solidFill>
                <a:srgbClr val="C00000"/>
              </a:solidFill>
              <a:round/>
            </a:ln>
            <a:effectLst/>
          </c:spPr>
          <c:marker>
            <c:symbol val="none"/>
          </c:marker>
          <c:cat>
            <c:numRef>
              <c:f>Charts_Other_Wal!$C$37:$J$37</c:f>
              <c:numCache>
                <c:formatCode>General</c:formatCode>
                <c:ptCount val="8"/>
                <c:pt idx="0">
                  <c:v>2010</c:v>
                </c:pt>
                <c:pt idx="1">
                  <c:v>2011</c:v>
                </c:pt>
                <c:pt idx="2">
                  <c:v>2012</c:v>
                </c:pt>
                <c:pt idx="3">
                  <c:v>2013</c:v>
                </c:pt>
                <c:pt idx="4">
                  <c:v>2014</c:v>
                </c:pt>
                <c:pt idx="5">
                  <c:v>2015</c:v>
                </c:pt>
                <c:pt idx="6">
                  <c:v>2016</c:v>
                </c:pt>
                <c:pt idx="7">
                  <c:v>2017</c:v>
                </c:pt>
              </c:numCache>
            </c:numRef>
          </c:cat>
          <c:val>
            <c:numRef>
              <c:f>Charts_Other_Wal!$C$44:$J$44</c:f>
              <c:numCache>
                <c:formatCode>0.00%</c:formatCode>
                <c:ptCount val="8"/>
                <c:pt idx="0">
                  <c:v>3.1091883488937943E-2</c:v>
                </c:pt>
                <c:pt idx="1">
                  <c:v>4.6038275996392437E-2</c:v>
                </c:pt>
                <c:pt idx="2">
                  <c:v>4.5021986726261155E-2</c:v>
                </c:pt>
                <c:pt idx="3">
                  <c:v>2.5321811958527583E-2</c:v>
                </c:pt>
                <c:pt idx="4">
                  <c:v>2.7275984752482753E-2</c:v>
                </c:pt>
                <c:pt idx="5">
                  <c:v>2.8868226316967296E-2</c:v>
                </c:pt>
                <c:pt idx="6">
                  <c:v>1.9420389952887571E-2</c:v>
                </c:pt>
                <c:pt idx="7">
                  <c:v>1.0744128283189295E-2</c:v>
                </c:pt>
              </c:numCache>
            </c:numRef>
          </c:val>
          <c:smooth val="0"/>
        </c:ser>
        <c:dLbls>
          <c:showLegendKey val="0"/>
          <c:showVal val="0"/>
          <c:showCatName val="0"/>
          <c:showSerName val="0"/>
          <c:showPercent val="0"/>
          <c:showBubbleSize val="0"/>
        </c:dLbls>
        <c:marker val="1"/>
        <c:smooth val="0"/>
        <c:axId val="202962512"/>
        <c:axId val="202962120"/>
      </c:lineChart>
      <c:catAx>
        <c:axId val="202961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728"/>
        <c:crosses val="autoZero"/>
        <c:auto val="1"/>
        <c:lblAlgn val="ctr"/>
        <c:lblOffset val="100"/>
        <c:noMultiLvlLbl val="0"/>
      </c:catAx>
      <c:valAx>
        <c:axId val="202961728"/>
        <c:scaling>
          <c:orientation val="minMax"/>
          <c:max val="8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1336"/>
        <c:crosses val="autoZero"/>
        <c:crossBetween val="between"/>
      </c:valAx>
      <c:valAx>
        <c:axId val="202962120"/>
        <c:scaling>
          <c:orientation val="minMax"/>
          <c:min val="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of UK Maritime</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962512"/>
        <c:crosses val="max"/>
        <c:crossBetween val="between"/>
      </c:valAx>
      <c:catAx>
        <c:axId val="202962512"/>
        <c:scaling>
          <c:orientation val="minMax"/>
        </c:scaling>
        <c:delete val="1"/>
        <c:axPos val="b"/>
        <c:numFmt formatCode="General" sourceLinked="1"/>
        <c:majorTickMark val="out"/>
        <c:minorTickMark val="none"/>
        <c:tickLblPos val="nextTo"/>
        <c:crossAx val="202962120"/>
        <c:crosses val="autoZero"/>
        <c:auto val="1"/>
        <c:lblAlgn val="ctr"/>
        <c:lblOffset val="100"/>
        <c:noMultiLvlLbl val="0"/>
      </c:catAx>
      <c:spPr>
        <a:noFill/>
        <a:ln>
          <a:noFill/>
        </a:ln>
        <a:effectLst/>
      </c:spPr>
    </c:plotArea>
    <c:legend>
      <c:legendPos val="b"/>
      <c:layout>
        <c:manualLayout>
          <c:xMode val="edge"/>
          <c:yMode val="edge"/>
          <c:x val="0.10252315759317294"/>
          <c:y val="0.8495022962262021"/>
          <c:w val="0.7993638281433123"/>
          <c:h val="0.150497703773797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lineChart>
        <c:grouping val="standard"/>
        <c:varyColors val="0"/>
        <c:ser>
          <c:idx val="0"/>
          <c:order val="0"/>
          <c:tx>
            <c:v>Maritime Turnover (LHS)</c:v>
          </c:tx>
          <c:spPr>
            <a:ln w="28575" cap="rnd">
              <a:solidFill>
                <a:schemeClr val="accent1"/>
              </a:solidFill>
              <a:round/>
            </a:ln>
            <a:effectLst/>
          </c:spPr>
          <c:marker>
            <c:symbol val="none"/>
          </c:marker>
          <c:cat>
            <c:numRef>
              <c:f>'[1]Report chart'!$A$8:$A$16</c:f>
              <c:numCache>
                <c:formatCode>General</c:formatCode>
                <c:ptCount val="9"/>
                <c:pt idx="0">
                  <c:v>2015</c:v>
                </c:pt>
                <c:pt idx="1">
                  <c:v>2016</c:v>
                </c:pt>
                <c:pt idx="2">
                  <c:v>2017</c:v>
                </c:pt>
                <c:pt idx="3">
                  <c:v>2018</c:v>
                </c:pt>
                <c:pt idx="4">
                  <c:v>2019</c:v>
                </c:pt>
                <c:pt idx="5">
                  <c:v>2020</c:v>
                </c:pt>
                <c:pt idx="6">
                  <c:v>2021</c:v>
                </c:pt>
                <c:pt idx="7">
                  <c:v>2022</c:v>
                </c:pt>
                <c:pt idx="8">
                  <c:v>2023</c:v>
                </c:pt>
              </c:numCache>
            </c:numRef>
          </c:cat>
          <c:val>
            <c:numRef>
              <c:f>'Report chart'!$B$7:$B$15</c:f>
              <c:numCache>
                <c:formatCode>General</c:formatCode>
                <c:ptCount val="9"/>
                <c:pt idx="0">
                  <c:v>1092.3486855788947</c:v>
                </c:pt>
                <c:pt idx="1">
                  <c:v>863.43973311535922</c:v>
                </c:pt>
                <c:pt idx="2">
                  <c:v>492.57002516518696</c:v>
                </c:pt>
                <c:pt idx="3">
                  <c:v>485.72362786266149</c:v>
                </c:pt>
                <c:pt idx="4">
                  <c:v>478.59681051998348</c:v>
                </c:pt>
                <c:pt idx="5">
                  <c:v>471.47817451017437</c:v>
                </c:pt>
                <c:pt idx="6">
                  <c:v>462.35253714686195</c:v>
                </c:pt>
                <c:pt idx="7">
                  <c:v>455.6648174413391</c:v>
                </c:pt>
                <c:pt idx="8">
                  <c:v>450.45347144104909</c:v>
                </c:pt>
              </c:numCache>
            </c:numRef>
          </c:val>
          <c:smooth val="0"/>
          <c:extLst xmlns:c16r2="http://schemas.microsoft.com/office/drawing/2015/06/chart">
            <c:ext xmlns:c16="http://schemas.microsoft.com/office/drawing/2014/chart" uri="{C3380CC4-5D6E-409C-BE32-E72D297353CC}">
              <c16:uniqueId val="{00000000-FA30-40AB-B942-243BCBA9D8C9}"/>
            </c:ext>
          </c:extLst>
        </c:ser>
        <c:dLbls>
          <c:showLegendKey val="0"/>
          <c:showVal val="0"/>
          <c:showCatName val="0"/>
          <c:showSerName val="0"/>
          <c:showPercent val="0"/>
          <c:showBubbleSize val="0"/>
        </c:dLbls>
        <c:marker val="1"/>
        <c:smooth val="0"/>
        <c:axId val="618093616"/>
        <c:axId val="618094008"/>
      </c:lineChart>
      <c:lineChart>
        <c:grouping val="standard"/>
        <c:varyColors val="0"/>
        <c:ser>
          <c:idx val="1"/>
          <c:order val="1"/>
          <c:tx>
            <c:v>Maritime GVA (RHS)</c:v>
          </c:tx>
          <c:spPr>
            <a:ln w="28575" cap="rnd">
              <a:solidFill>
                <a:schemeClr val="accent2"/>
              </a:solidFill>
              <a:round/>
            </a:ln>
            <a:effectLst/>
          </c:spPr>
          <c:marker>
            <c:symbol val="none"/>
          </c:marker>
          <c:cat>
            <c:multiLvlStrRef>
              <c:f>'[1]Complete GVA Forecast'!$C$5:$M$5</c:f>
            </c:multiLvlStrRef>
          </c:cat>
          <c:val>
            <c:numRef>
              <c:f>'Report chart'!$C$7:$C$15</c:f>
              <c:numCache>
                <c:formatCode>General</c:formatCode>
                <c:ptCount val="9"/>
                <c:pt idx="0">
                  <c:v>374.88679578863616</c:v>
                </c:pt>
                <c:pt idx="1">
                  <c:v>415.98589311263555</c:v>
                </c:pt>
                <c:pt idx="2">
                  <c:v>255.50238186897298</c:v>
                </c:pt>
                <c:pt idx="3">
                  <c:v>187.83850937511326</c:v>
                </c:pt>
                <c:pt idx="4">
                  <c:v>185.08243437804546</c:v>
                </c:pt>
                <c:pt idx="5">
                  <c:v>182.32952325706407</c:v>
                </c:pt>
                <c:pt idx="6">
                  <c:v>178.80046677083706</c:v>
                </c:pt>
                <c:pt idx="7">
                  <c:v>176.21419913108539</c:v>
                </c:pt>
                <c:pt idx="8">
                  <c:v>174.19887311361356</c:v>
                </c:pt>
              </c:numCache>
            </c:numRef>
          </c:val>
          <c:smooth val="0"/>
          <c:extLst xmlns:c16r2="http://schemas.microsoft.com/office/drawing/2015/06/chart">
            <c:ext xmlns:c16="http://schemas.microsoft.com/office/drawing/2014/chart" uri="{C3380CC4-5D6E-409C-BE32-E72D297353CC}">
              <c16:uniqueId val="{00000001-FA30-40AB-B942-243BCBA9D8C9}"/>
            </c:ext>
          </c:extLst>
        </c:ser>
        <c:dLbls>
          <c:showLegendKey val="0"/>
          <c:showVal val="0"/>
          <c:showCatName val="0"/>
          <c:showSerName val="0"/>
          <c:showPercent val="0"/>
          <c:showBubbleSize val="0"/>
        </c:dLbls>
        <c:marker val="1"/>
        <c:smooth val="0"/>
        <c:axId val="618094792"/>
        <c:axId val="618094400"/>
      </c:lineChart>
      <c:catAx>
        <c:axId val="618093616"/>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4008"/>
        <c:crosses val="autoZero"/>
        <c:auto val="1"/>
        <c:lblAlgn val="ctr"/>
        <c:lblOffset val="100"/>
        <c:noMultiLvlLbl val="0"/>
      </c:catAx>
      <c:valAx>
        <c:axId val="618094008"/>
        <c:scaling>
          <c:orientation val="minMax"/>
          <c:min val="2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Turnover</a:t>
                </a:r>
                <a:r>
                  <a:rPr lang="en-GB" baseline="0"/>
                  <a:t> (£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3616"/>
        <c:crosses val="autoZero"/>
        <c:crossBetween val="between"/>
      </c:valAx>
      <c:valAx>
        <c:axId val="618094400"/>
        <c:scaling>
          <c:orientation val="minMax"/>
          <c:min val="100"/>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GVA</a:t>
                </a:r>
                <a:r>
                  <a:rPr lang="en-GB" baseline="0"/>
                  <a:t> (£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618094792"/>
        <c:crosses val="max"/>
        <c:crossBetween val="between"/>
      </c:valAx>
      <c:catAx>
        <c:axId val="618094792"/>
        <c:scaling>
          <c:orientation val="minMax"/>
        </c:scaling>
        <c:delete val="1"/>
        <c:axPos val="b"/>
        <c:numFmt formatCode="General" sourceLinked="1"/>
        <c:majorTickMark val="out"/>
        <c:minorTickMark val="none"/>
        <c:tickLblPos val="nextTo"/>
        <c:crossAx val="618094400"/>
        <c:crosses val="autoZero"/>
        <c:auto val="1"/>
        <c:lblAlgn val="ctr"/>
        <c:lblOffset val="100"/>
        <c:noMultiLvlLbl val="0"/>
      </c:cat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4">
    <c:autoUpdate val="0"/>
  </c:externalData>
  <c:userShapes r:id="rId5"/>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Charts_EI_Wal!$W$29</c:f>
              <c:strCache>
                <c:ptCount val="1"/>
                <c:pt idx="0">
                  <c:v>Shipping</c:v>
                </c:pt>
              </c:strCache>
            </c:strRef>
          </c:tx>
          <c:spPr>
            <a:solidFill>
              <a:schemeClr val="accent1"/>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Charts_EI_Wal!$X$29:$AE$29</c:f>
              <c:numCache>
                <c:formatCode>0.0%</c:formatCode>
                <c:ptCount val="8"/>
                <c:pt idx="0">
                  <c:v>0.64641870043444738</c:v>
                </c:pt>
                <c:pt idx="1">
                  <c:v>0.70754941547254357</c:v>
                </c:pt>
                <c:pt idx="2">
                  <c:v>0.75129761056278321</c:v>
                </c:pt>
                <c:pt idx="3">
                  <c:v>0.65625557927773948</c:v>
                </c:pt>
                <c:pt idx="4">
                  <c:v>0.6465327998210918</c:v>
                </c:pt>
                <c:pt idx="5">
                  <c:v>0.70149711438812246</c:v>
                </c:pt>
                <c:pt idx="6">
                  <c:v>0.66578674144096273</c:v>
                </c:pt>
                <c:pt idx="7">
                  <c:v>0.50391019090379197</c:v>
                </c:pt>
              </c:numCache>
            </c:numRef>
          </c:val>
        </c:ser>
        <c:ser>
          <c:idx val="1"/>
          <c:order val="1"/>
          <c:tx>
            <c:strRef>
              <c:f>Charts_EI_Wal!$W$30</c:f>
              <c:strCache>
                <c:ptCount val="1"/>
                <c:pt idx="0">
                  <c:v>Ports</c:v>
                </c:pt>
              </c:strCache>
            </c:strRef>
          </c:tx>
          <c:spPr>
            <a:solidFill>
              <a:schemeClr val="accent2"/>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Charts_EI_Wal!$X$30:$AE$30</c:f>
              <c:numCache>
                <c:formatCode>0.0%</c:formatCode>
                <c:ptCount val="8"/>
                <c:pt idx="0">
                  <c:v>0.12929392561641281</c:v>
                </c:pt>
                <c:pt idx="1">
                  <c:v>0.10782684752248491</c:v>
                </c:pt>
                <c:pt idx="2">
                  <c:v>8.3872699569573661E-2</c:v>
                </c:pt>
                <c:pt idx="3">
                  <c:v>9.749227659685579E-2</c:v>
                </c:pt>
                <c:pt idx="4">
                  <c:v>0.16748496198778676</c:v>
                </c:pt>
                <c:pt idx="5">
                  <c:v>0.11933569881000528</c:v>
                </c:pt>
                <c:pt idx="6">
                  <c:v>8.1038964091851004E-2</c:v>
                </c:pt>
                <c:pt idx="7">
                  <c:v>0.14253783709525544</c:v>
                </c:pt>
              </c:numCache>
            </c:numRef>
          </c:val>
        </c:ser>
        <c:ser>
          <c:idx val="2"/>
          <c:order val="2"/>
          <c:tx>
            <c:strRef>
              <c:f>Charts_EI_Wal!$W$31</c:f>
              <c:strCache>
                <c:ptCount val="1"/>
                <c:pt idx="0">
                  <c:v>Leisure Marine</c:v>
                </c:pt>
              </c:strCache>
            </c:strRef>
          </c:tx>
          <c:spPr>
            <a:solidFill>
              <a:schemeClr val="accent4"/>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Charts_EI_Wal!$X$31:$AE$31</c:f>
              <c:numCache>
                <c:formatCode>0.0%</c:formatCode>
                <c:ptCount val="8"/>
                <c:pt idx="0">
                  <c:v>6.7780654126876602E-2</c:v>
                </c:pt>
                <c:pt idx="1">
                  <c:v>4.4938393028521317E-2</c:v>
                </c:pt>
                <c:pt idx="2">
                  <c:v>5.0355036653473365E-2</c:v>
                </c:pt>
                <c:pt idx="3">
                  <c:v>4.3963943201956866E-2</c:v>
                </c:pt>
                <c:pt idx="4">
                  <c:v>3.5247142448197162E-2</c:v>
                </c:pt>
                <c:pt idx="5">
                  <c:v>3.6252269012369533E-2</c:v>
                </c:pt>
                <c:pt idx="6">
                  <c:v>4.6966153589451623E-2</c:v>
                </c:pt>
                <c:pt idx="7">
                  <c:v>6.3134125399098864E-2</c:v>
                </c:pt>
              </c:numCache>
            </c:numRef>
          </c:val>
        </c:ser>
        <c:ser>
          <c:idx val="3"/>
          <c:order val="3"/>
          <c:tx>
            <c:strRef>
              <c:f>Charts_EI_Wal!$W$32</c:f>
              <c:strCache>
                <c:ptCount val="1"/>
                <c:pt idx="0">
                  <c:v>Marine Engineering</c:v>
                </c:pt>
              </c:strCache>
            </c:strRef>
          </c:tx>
          <c:spPr>
            <a:solidFill>
              <a:schemeClr val="accent5">
                <a:lumMod val="40000"/>
                <a:lumOff val="60000"/>
              </a:schemeClr>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Charts_EI_Wal!$X$32:$AE$32</c:f>
              <c:numCache>
                <c:formatCode>0.0%</c:formatCode>
                <c:ptCount val="8"/>
                <c:pt idx="0">
                  <c:v>0.13852169991108532</c:v>
                </c:pt>
                <c:pt idx="1">
                  <c:v>0.12488738184108725</c:v>
                </c:pt>
                <c:pt idx="2">
                  <c:v>0.10282410405707235</c:v>
                </c:pt>
                <c:pt idx="3">
                  <c:v>0.18854681674708765</c:v>
                </c:pt>
                <c:pt idx="4">
                  <c:v>0.13090785429720894</c:v>
                </c:pt>
                <c:pt idx="5">
                  <c:v>0.13047975162768102</c:v>
                </c:pt>
                <c:pt idx="6">
                  <c:v>0.19335179568905983</c:v>
                </c:pt>
                <c:pt idx="7">
                  <c:v>0.26969760527679748</c:v>
                </c:pt>
              </c:numCache>
            </c:numRef>
          </c:val>
        </c:ser>
        <c:ser>
          <c:idx val="4"/>
          <c:order val="4"/>
          <c:tx>
            <c:strRef>
              <c:f>Charts_EI_Wal!$W$33</c:f>
              <c:strCache>
                <c:ptCount val="1"/>
                <c:pt idx="0">
                  <c:v>MBS</c:v>
                </c:pt>
              </c:strCache>
            </c:strRef>
          </c:tx>
          <c:spPr>
            <a:solidFill>
              <a:schemeClr val="accent3"/>
            </a:solidFill>
            <a:ln>
              <a:noFill/>
            </a:ln>
            <a:effectLst/>
          </c:spPr>
          <c:invertIfNegative val="0"/>
          <c:cat>
            <c:multiLvlStrRef>
              <c:f>Charts_EI_Wal!$X$20:$AE$21</c:f>
              <c:multiLvlStrCache>
                <c:ptCount val="8"/>
                <c:lvl>
                  <c:pt idx="0">
                    <c:v>2010</c:v>
                  </c:pt>
                  <c:pt idx="1">
                    <c:v>2011</c:v>
                  </c:pt>
                  <c:pt idx="2">
                    <c:v>2012</c:v>
                  </c:pt>
                  <c:pt idx="3">
                    <c:v>2013</c:v>
                  </c:pt>
                  <c:pt idx="4">
                    <c:v>2014</c:v>
                  </c:pt>
                  <c:pt idx="5">
                    <c:v>2015</c:v>
                  </c:pt>
                  <c:pt idx="6">
                    <c:v>2016</c:v>
                  </c:pt>
                  <c:pt idx="7">
                    <c:v>2017</c:v>
                  </c:pt>
                </c:lvl>
                <c:lvl>
                  <c:pt idx="0">
                    <c:v>DIRECT TURNOVER IMPACT - BY INDUSTRY</c:v>
                  </c:pt>
                </c:lvl>
              </c:multiLvlStrCache>
            </c:multiLvlStrRef>
          </c:cat>
          <c:val>
            <c:numRef>
              <c:f>Charts_EI_Wal!$X$33:$AE$33</c:f>
              <c:numCache>
                <c:formatCode>0.0%</c:formatCode>
                <c:ptCount val="8"/>
                <c:pt idx="0">
                  <c:v>1.7985019911177874E-2</c:v>
                </c:pt>
                <c:pt idx="1">
                  <c:v>1.4797962135362918E-2</c:v>
                </c:pt>
                <c:pt idx="2">
                  <c:v>1.1650549157097364E-2</c:v>
                </c:pt>
                <c:pt idx="3">
                  <c:v>1.3741384176360146E-2</c:v>
                </c:pt>
                <c:pt idx="4">
                  <c:v>1.9827241445715339E-2</c:v>
                </c:pt>
                <c:pt idx="5">
                  <c:v>1.2435166161821802E-2</c:v>
                </c:pt>
                <c:pt idx="6">
                  <c:v>1.2856345188674793E-2</c:v>
                </c:pt>
                <c:pt idx="7">
                  <c:v>2.0720241325056239E-2</c:v>
                </c:pt>
              </c:numCache>
            </c:numRef>
          </c:val>
        </c:ser>
        <c:dLbls>
          <c:showLegendKey val="0"/>
          <c:showVal val="0"/>
          <c:showCatName val="0"/>
          <c:showSerName val="0"/>
          <c:showPercent val="0"/>
          <c:showBubbleSize val="0"/>
        </c:dLbls>
        <c:gapWidth val="150"/>
        <c:overlap val="100"/>
        <c:axId val="150485568"/>
        <c:axId val="150006784"/>
      </c:barChart>
      <c:catAx>
        <c:axId val="150485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006784"/>
        <c:crosses val="autoZero"/>
        <c:auto val="1"/>
        <c:lblAlgn val="ctr"/>
        <c:lblOffset val="100"/>
        <c:noMultiLvlLbl val="0"/>
      </c:catAx>
      <c:valAx>
        <c:axId val="150006784"/>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85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'Wales Summary'!$C$11</c:f>
              <c:strCache>
                <c:ptCount val="1"/>
                <c:pt idx="0">
                  <c:v>Turnover</c:v>
                </c:pt>
              </c:strCache>
            </c:strRef>
          </c:tx>
          <c:spPr>
            <a:solidFill>
              <a:schemeClr val="accent1"/>
            </a:solidFill>
            <a:ln>
              <a:noFill/>
            </a:ln>
            <a:effectLst/>
          </c:spPr>
          <c:invertIfNegative val="0"/>
          <c:dPt>
            <c:idx val="2"/>
            <c:invertIfNegative val="0"/>
            <c:bubble3D val="0"/>
            <c:spPr>
              <a:solidFill>
                <a:schemeClr val="accent2"/>
              </a:solidFill>
              <a:ln>
                <a:noFill/>
              </a:ln>
              <a:effectLst/>
            </c:spPr>
          </c:dPt>
          <c:cat>
            <c:strRef>
              <c:f>'Wales Summary'!$B$12:$B$16</c:f>
              <c:strCache>
                <c:ptCount val="5"/>
                <c:pt idx="0">
                  <c:v>Manufacture of machinery and equipment </c:v>
                </c:pt>
                <c:pt idx="1">
                  <c:v>Travel agency, tour operator and other </c:v>
                </c:pt>
                <c:pt idx="2">
                  <c:v>Maritime</c:v>
                </c:pt>
                <c:pt idx="3">
                  <c:v>Creative, arts and entertainment activities </c:v>
                </c:pt>
                <c:pt idx="4">
                  <c:v>Advertising and market research </c:v>
                </c:pt>
              </c:strCache>
            </c:strRef>
          </c:cat>
          <c:val>
            <c:numRef>
              <c:f>'Wales Summary'!$C$12:$C$16</c:f>
              <c:numCache>
                <c:formatCode>General</c:formatCode>
                <c:ptCount val="5"/>
                <c:pt idx="0">
                  <c:v>860</c:v>
                </c:pt>
                <c:pt idx="1">
                  <c:v>686</c:v>
                </c:pt>
                <c:pt idx="2" formatCode="0">
                  <c:v>492.57002516518696</c:v>
                </c:pt>
                <c:pt idx="3">
                  <c:v>167</c:v>
                </c:pt>
                <c:pt idx="4">
                  <c:v>107</c:v>
                </c:pt>
              </c:numCache>
            </c:numRef>
          </c:val>
        </c:ser>
        <c:dLbls>
          <c:showLegendKey val="0"/>
          <c:showVal val="0"/>
          <c:showCatName val="0"/>
          <c:showSerName val="0"/>
          <c:showPercent val="0"/>
          <c:showBubbleSize val="0"/>
        </c:dLbls>
        <c:gapWidth val="219"/>
        <c:axId val="150484208"/>
        <c:axId val="148848392"/>
      </c:barChart>
      <c:scatterChart>
        <c:scatterStyle val="lineMarker"/>
        <c:varyColors val="0"/>
        <c:ser>
          <c:idx val="1"/>
          <c:order val="1"/>
          <c:tx>
            <c:strRef>
              <c:f>'Wales Summary'!$D$11</c:f>
              <c:strCache>
                <c:ptCount val="1"/>
              </c:strCache>
            </c:strRef>
          </c:tx>
          <c:spPr>
            <a:ln w="25400" cap="rnd">
              <a:noFill/>
              <a:round/>
            </a:ln>
            <a:effectLst/>
          </c:spPr>
          <c:marker>
            <c:symbol val="circle"/>
            <c:size val="5"/>
            <c:spPr>
              <a:solidFill>
                <a:schemeClr val="accent5"/>
              </a:solidFill>
              <a:ln w="15875">
                <a:solidFill>
                  <a:schemeClr val="accent5"/>
                </a:solidFill>
              </a:ln>
              <a:effectLst/>
            </c:spPr>
          </c:marker>
          <c:xVal>
            <c:strRef>
              <c:f>'Wales Summary'!$B$12:$B$16</c:f>
              <c:strCache>
                <c:ptCount val="5"/>
                <c:pt idx="0">
                  <c:v>Manufacture of machinery and equipment </c:v>
                </c:pt>
                <c:pt idx="1">
                  <c:v>Travel agency, tour operator and other </c:v>
                </c:pt>
                <c:pt idx="2">
                  <c:v>Maritime</c:v>
                </c:pt>
                <c:pt idx="3">
                  <c:v>Creative, arts and entertainment activities </c:v>
                </c:pt>
                <c:pt idx="4">
                  <c:v>Advertising and market research </c:v>
                </c:pt>
              </c:strCache>
            </c:strRef>
          </c:xVal>
          <c:yVal>
            <c:numRef>
              <c:f>'Wales Summary'!$D$12:$D$16</c:f>
              <c:numCache>
                <c:formatCode>0%</c:formatCode>
                <c:ptCount val="5"/>
                <c:pt idx="0">
                  <c:v>9.5541401273885357E-2</c:v>
                </c:pt>
                <c:pt idx="1">
                  <c:v>0.55909090909090908</c:v>
                </c:pt>
                <c:pt idx="2">
                  <c:v>-0.44395143283684557</c:v>
                </c:pt>
                <c:pt idx="3">
                  <c:v>1.6507936507936507</c:v>
                </c:pt>
                <c:pt idx="4">
                  <c:v>0.62121212121212122</c:v>
                </c:pt>
              </c:numCache>
            </c:numRef>
          </c:yVal>
          <c:smooth val="0"/>
        </c:ser>
        <c:dLbls>
          <c:showLegendKey val="0"/>
          <c:showVal val="0"/>
          <c:showCatName val="0"/>
          <c:showSerName val="0"/>
          <c:showPercent val="0"/>
          <c:showBubbleSize val="0"/>
        </c:dLbls>
        <c:axId val="6292384"/>
        <c:axId val="6292000"/>
      </c:scatterChart>
      <c:catAx>
        <c:axId val="1504842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848392"/>
        <c:crosses val="autoZero"/>
        <c:auto val="1"/>
        <c:lblAlgn val="ctr"/>
        <c:lblOffset val="100"/>
        <c:noMultiLvlLbl val="0"/>
      </c:catAx>
      <c:valAx>
        <c:axId val="14884839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484208"/>
        <c:crosses val="autoZero"/>
        <c:crossBetween val="between"/>
      </c:valAx>
      <c:valAx>
        <c:axId val="6292000"/>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Growth 2010-17</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292384"/>
        <c:crosses val="max"/>
        <c:crossBetween val="midCat"/>
      </c:valAx>
      <c:valAx>
        <c:axId val="6292384"/>
        <c:scaling>
          <c:orientation val="minMax"/>
        </c:scaling>
        <c:delete val="1"/>
        <c:axPos val="t"/>
        <c:majorTickMark val="out"/>
        <c:minorTickMark val="none"/>
        <c:tickLblPos val="nextTo"/>
        <c:crossAx val="6292000"/>
        <c:crosses val="max"/>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3822126887772685"/>
          <c:h val="0.70323111685474959"/>
        </c:manualLayout>
      </c:layout>
      <c:barChart>
        <c:barDir val="col"/>
        <c:grouping val="stacked"/>
        <c:varyColors val="0"/>
        <c:ser>
          <c:idx val="0"/>
          <c:order val="0"/>
          <c:tx>
            <c:strRef>
              <c:f>Charts_EI_Wal!$B$4</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Charts_EI_Wal!$C$4:$J$4</c:f>
              <c:numCache>
                <c:formatCode>#,##0_ ;\-#,##0\ </c:formatCode>
                <c:ptCount val="8"/>
                <c:pt idx="0">
                  <c:v>172.42960098582307</c:v>
                </c:pt>
                <c:pt idx="1">
                  <c:v>230.0848111071399</c:v>
                </c:pt>
                <c:pt idx="2">
                  <c:v>203.91206232640337</c:v>
                </c:pt>
                <c:pt idx="3">
                  <c:v>182.07360926112852</c:v>
                </c:pt>
                <c:pt idx="4">
                  <c:v>153.69987411782796</c:v>
                </c:pt>
                <c:pt idx="5">
                  <c:v>217.21929181227455</c:v>
                </c:pt>
                <c:pt idx="6">
                  <c:v>272.72488763189068</c:v>
                </c:pt>
                <c:pt idx="7">
                  <c:v>127.2198677197658</c:v>
                </c:pt>
              </c:numCache>
            </c:numRef>
          </c:val>
        </c:ser>
        <c:ser>
          <c:idx val="1"/>
          <c:order val="1"/>
          <c:tx>
            <c:strRef>
              <c:f>Charts_EI_Wal!$B$5</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Charts_EI_Wal!$C$5:$J$5</c:f>
              <c:numCache>
                <c:formatCode>#,##0_ ;\-#,##0\ </c:formatCode>
                <c:ptCount val="8"/>
                <c:pt idx="0">
                  <c:v>76.406125925712658</c:v>
                </c:pt>
                <c:pt idx="1">
                  <c:v>82.714419653707083</c:v>
                </c:pt>
                <c:pt idx="2">
                  <c:v>85.202762009792309</c:v>
                </c:pt>
                <c:pt idx="3">
                  <c:v>64.809034944365436</c:v>
                </c:pt>
                <c:pt idx="4">
                  <c:v>90.734960760307814</c:v>
                </c:pt>
                <c:pt idx="5">
                  <c:v>59.912258461631787</c:v>
                </c:pt>
                <c:pt idx="6">
                  <c:v>47.691374046964299</c:v>
                </c:pt>
                <c:pt idx="7">
                  <c:v>49.019015015909531</c:v>
                </c:pt>
              </c:numCache>
            </c:numRef>
          </c:val>
        </c:ser>
        <c:ser>
          <c:idx val="2"/>
          <c:order val="2"/>
          <c:tx>
            <c:strRef>
              <c:f>Charts_EI_Wal!$B$6</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Charts_EI_Wal!$C$6:$J$6</c:f>
              <c:numCache>
                <c:formatCode>#,##0_ ;\-#,##0\ </c:formatCode>
                <c:ptCount val="8"/>
                <c:pt idx="0">
                  <c:v>23.568455885463017</c:v>
                </c:pt>
                <c:pt idx="1">
                  <c:v>21.807759572826956</c:v>
                </c:pt>
                <c:pt idx="2">
                  <c:v>22.355348044781604</c:v>
                </c:pt>
                <c:pt idx="3">
                  <c:v>13.91970078695595</c:v>
                </c:pt>
                <c:pt idx="4">
                  <c:v>12.613451921988421</c:v>
                </c:pt>
                <c:pt idx="5">
                  <c:v>15.774727193037428</c:v>
                </c:pt>
                <c:pt idx="6">
                  <c:v>15.740735593892058</c:v>
                </c:pt>
                <c:pt idx="7">
                  <c:v>14.501038258794862</c:v>
                </c:pt>
              </c:numCache>
            </c:numRef>
          </c:val>
        </c:ser>
        <c:ser>
          <c:idx val="3"/>
          <c:order val="3"/>
          <c:tx>
            <c:strRef>
              <c:f>Charts_EI_Wal!$B$7</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Charts_EI_Wal!$C$7:$J$7</c:f>
              <c:numCache>
                <c:formatCode>#,##0_ ;\-#,##0\ </c:formatCode>
                <c:ptCount val="8"/>
                <c:pt idx="0">
                  <c:v>41.634312618273256</c:v>
                </c:pt>
                <c:pt idx="1">
                  <c:v>58.331210933485949</c:v>
                </c:pt>
                <c:pt idx="2">
                  <c:v>46.493986445299207</c:v>
                </c:pt>
                <c:pt idx="3">
                  <c:v>67.983156700191216</c:v>
                </c:pt>
                <c:pt idx="4">
                  <c:v>46.476551190275572</c:v>
                </c:pt>
                <c:pt idx="5">
                  <c:v>63.807419003164682</c:v>
                </c:pt>
                <c:pt idx="6">
                  <c:v>65.641368980828929</c:v>
                </c:pt>
                <c:pt idx="7">
                  <c:v>51.049041591161441</c:v>
                </c:pt>
              </c:numCache>
            </c:numRef>
          </c:val>
        </c:ser>
        <c:ser>
          <c:idx val="4"/>
          <c:order val="4"/>
          <c:tx>
            <c:strRef>
              <c:f>Charts_EI_Wal!$B$8</c:f>
              <c:strCache>
                <c:ptCount val="1"/>
                <c:pt idx="0">
                  <c:v>MBS</c:v>
                </c:pt>
              </c:strCache>
            </c:strRef>
          </c:tx>
          <c:spPr>
            <a:solidFill>
              <a:schemeClr val="accent3"/>
            </a:solidFill>
            <a:ln>
              <a:noFill/>
            </a:ln>
            <a:effectLst/>
          </c:spPr>
          <c:invertIfNegative val="0"/>
          <c:val>
            <c:numRef>
              <c:f>Charts_EI_Wal!$C$8:$J$8</c:f>
              <c:numCache>
                <c:formatCode>#,##0_ ;\-#,##0\ </c:formatCode>
                <c:ptCount val="8"/>
                <c:pt idx="0">
                  <c:v>18.917331979973984</c:v>
                </c:pt>
                <c:pt idx="1">
                  <c:v>24.421176693690235</c:v>
                </c:pt>
                <c:pt idx="2">
                  <c:v>19.77993057598707</c:v>
                </c:pt>
                <c:pt idx="3">
                  <c:v>19.0090205774863</c:v>
                </c:pt>
                <c:pt idx="4">
                  <c:v>27.104870938580063</c:v>
                </c:pt>
                <c:pt idx="5">
                  <c:v>18.173099318527729</c:v>
                </c:pt>
                <c:pt idx="6">
                  <c:v>14.187526859059577</c:v>
                </c:pt>
                <c:pt idx="7">
                  <c:v>13.713419283341354</c:v>
                </c:pt>
              </c:numCache>
            </c:numRef>
          </c:val>
        </c:ser>
        <c:dLbls>
          <c:showLegendKey val="0"/>
          <c:showVal val="0"/>
          <c:showCatName val="0"/>
          <c:showSerName val="0"/>
          <c:showPercent val="0"/>
          <c:showBubbleSize val="0"/>
        </c:dLbls>
        <c:gapWidth val="150"/>
        <c:overlap val="100"/>
        <c:axId val="148620432"/>
        <c:axId val="148620824"/>
      </c:barChart>
      <c:lineChart>
        <c:grouping val="standard"/>
        <c:varyColors val="0"/>
        <c:ser>
          <c:idx val="5"/>
          <c:order val="5"/>
          <c:tx>
            <c:strRef>
              <c:f>Charts_EI_Wal!$B$9</c:f>
              <c:strCache>
                <c:ptCount val="1"/>
                <c:pt idx="0">
                  <c:v>Wales as % Sector (RHS)</c:v>
                </c:pt>
              </c:strCache>
            </c:strRef>
          </c:tx>
          <c:spPr>
            <a:ln w="28575" cap="rnd">
              <a:solidFill>
                <a:srgbClr val="C0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Charts_EI_Wal!$C$9:$J$9</c:f>
              <c:numCache>
                <c:formatCode>0.0%</c:formatCode>
                <c:ptCount val="8"/>
                <c:pt idx="0">
                  <c:v>2.4398692491343847E-2</c:v>
                </c:pt>
                <c:pt idx="1">
                  <c:v>3.0241361026515742E-2</c:v>
                </c:pt>
                <c:pt idx="2">
                  <c:v>2.3928359400374292E-2</c:v>
                </c:pt>
                <c:pt idx="3">
                  <c:v>2.3387685485654279E-2</c:v>
                </c:pt>
                <c:pt idx="4">
                  <c:v>2.090583899773707E-2</c:v>
                </c:pt>
                <c:pt idx="5">
                  <c:v>2.3523583516344194E-2</c:v>
                </c:pt>
                <c:pt idx="6">
                  <c:v>2.6107734993624208E-2</c:v>
                </c:pt>
                <c:pt idx="7">
                  <c:v>1.5008230346214357E-2</c:v>
                </c:pt>
              </c:numCache>
            </c:numRef>
          </c:val>
          <c:smooth val="0"/>
        </c:ser>
        <c:dLbls>
          <c:showLegendKey val="0"/>
          <c:showVal val="0"/>
          <c:showCatName val="0"/>
          <c:showSerName val="0"/>
          <c:showPercent val="0"/>
          <c:showBubbleSize val="0"/>
        </c:dLbls>
        <c:marker val="1"/>
        <c:smooth val="0"/>
        <c:axId val="148621608"/>
        <c:axId val="148621216"/>
      </c:lineChart>
      <c:catAx>
        <c:axId val="1486204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0824"/>
        <c:crosses val="autoZero"/>
        <c:auto val="1"/>
        <c:lblAlgn val="ctr"/>
        <c:lblOffset val="100"/>
        <c:noMultiLvlLbl val="0"/>
      </c:catAx>
      <c:valAx>
        <c:axId val="1486208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million</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0432"/>
        <c:crosses val="autoZero"/>
        <c:crossBetween val="between"/>
      </c:valAx>
      <c:valAx>
        <c:axId val="148621216"/>
        <c:scaling>
          <c:orientation val="minMax"/>
          <c:max val="5.000000000000001E-2"/>
        </c:scaling>
        <c:delete val="0"/>
        <c:axPos val="r"/>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1608"/>
        <c:crosses val="max"/>
        <c:crossBetween val="between"/>
      </c:valAx>
      <c:catAx>
        <c:axId val="148621608"/>
        <c:scaling>
          <c:orientation val="minMax"/>
        </c:scaling>
        <c:delete val="1"/>
        <c:axPos val="b"/>
        <c:numFmt formatCode="General" sourceLinked="1"/>
        <c:majorTickMark val="out"/>
        <c:minorTickMark val="none"/>
        <c:tickLblPos val="nextTo"/>
        <c:crossAx val="148621216"/>
        <c:crosses val="autoZero"/>
        <c:auto val="1"/>
        <c:lblAlgn val="ctr"/>
        <c:lblOffset val="100"/>
        <c:noMultiLvlLbl val="0"/>
      </c:catAx>
      <c:spPr>
        <a:noFill/>
        <a:ln>
          <a:noFill/>
        </a:ln>
        <a:effectLst/>
      </c:spPr>
    </c:plotArea>
    <c:legend>
      <c:legendPos val="b"/>
      <c:layout>
        <c:manualLayout>
          <c:xMode val="edge"/>
          <c:yMode val="edge"/>
          <c:x val="1.7844996460192889E-2"/>
          <c:y val="0.86662613379507569"/>
          <c:w val="0.97360802290953363"/>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Sheet1!$B$45</c:f>
              <c:strCache>
                <c:ptCount val="1"/>
                <c:pt idx="0">
                  <c:v>Wales</c:v>
                </c:pt>
              </c:strCache>
            </c:strRef>
          </c:tx>
          <c:spPr>
            <a:ln w="28575" cap="rnd">
              <a:solidFill>
                <a:schemeClr val="accent1"/>
              </a:solidFill>
              <a:round/>
            </a:ln>
            <a:effectLst/>
          </c:spPr>
          <c:marker>
            <c:symbol val="none"/>
          </c:marker>
          <c:cat>
            <c:numRef>
              <c:f>Sheet1!$A$46:$A$65</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Sheet1!$B$46:$B$65</c:f>
              <c:numCache>
                <c:formatCode>_-* #,##0_-;\-* #,##0_-;_-* "-"??_-;_-@_-</c:formatCode>
                <c:ptCount val="20"/>
                <c:pt idx="0" formatCode="General">
                  <c:v>100</c:v>
                </c:pt>
                <c:pt idx="1">
                  <c:v>101.56451111801519</c:v>
                </c:pt>
                <c:pt idx="2">
                  <c:v>105.93404642492565</c:v>
                </c:pt>
                <c:pt idx="3">
                  <c:v>107.2921752252452</c:v>
                </c:pt>
                <c:pt idx="4">
                  <c:v>110.39012915538591</c:v>
                </c:pt>
                <c:pt idx="5">
                  <c:v>115.11694998002753</c:v>
                </c:pt>
                <c:pt idx="6">
                  <c:v>118.6010385690826</c:v>
                </c:pt>
                <c:pt idx="7">
                  <c:v>121.23518707558476</c:v>
                </c:pt>
                <c:pt idx="8">
                  <c:v>124.24215525276288</c:v>
                </c:pt>
                <c:pt idx="9">
                  <c:v>125.43384670010211</c:v>
                </c:pt>
                <c:pt idx="10">
                  <c:v>121.85211486396523</c:v>
                </c:pt>
                <c:pt idx="11">
                  <c:v>118.25262971017712</c:v>
                </c:pt>
                <c:pt idx="12">
                  <c:v>119.63516932226713</c:v>
                </c:pt>
                <c:pt idx="13">
                  <c:v>124.34867515867032</c:v>
                </c:pt>
                <c:pt idx="14">
                  <c:v>125.49376414717503</c:v>
                </c:pt>
                <c:pt idx="15">
                  <c:v>127.16257600639123</c:v>
                </c:pt>
                <c:pt idx="16">
                  <c:v>128.43415738316102</c:v>
                </c:pt>
                <c:pt idx="17">
                  <c:v>131.43002973680709</c:v>
                </c:pt>
                <c:pt idx="18">
                  <c:v>133.80675513736631</c:v>
                </c:pt>
                <c:pt idx="19">
                  <c:v>135.71523678487418</c:v>
                </c:pt>
              </c:numCache>
            </c:numRef>
          </c:val>
          <c:smooth val="0"/>
        </c:ser>
        <c:ser>
          <c:idx val="1"/>
          <c:order val="1"/>
          <c:tx>
            <c:strRef>
              <c:f>Sheet1!$C$45</c:f>
              <c:strCache>
                <c:ptCount val="1"/>
                <c:pt idx="0">
                  <c:v>UK excluding Wales</c:v>
                </c:pt>
              </c:strCache>
            </c:strRef>
          </c:tx>
          <c:spPr>
            <a:ln w="28575" cap="rnd">
              <a:solidFill>
                <a:schemeClr val="accent2"/>
              </a:solidFill>
              <a:round/>
            </a:ln>
            <a:effectLst/>
          </c:spPr>
          <c:marker>
            <c:symbol val="none"/>
          </c:marker>
          <c:cat>
            <c:numRef>
              <c:f>Sheet1!$A$46:$A$65</c:f>
              <c:numCache>
                <c:formatCode>General</c:formatCode>
                <c:ptCount val="20"/>
                <c:pt idx="0">
                  <c:v>1998</c:v>
                </c:pt>
                <c:pt idx="1">
                  <c:v>1999</c:v>
                </c:pt>
                <c:pt idx="2">
                  <c:v>2000</c:v>
                </c:pt>
                <c:pt idx="3">
                  <c:v>2001</c:v>
                </c:pt>
                <c:pt idx="4">
                  <c:v>2002</c:v>
                </c:pt>
                <c:pt idx="5">
                  <c:v>2003</c:v>
                </c:pt>
                <c:pt idx="6">
                  <c:v>2004</c:v>
                </c:pt>
                <c:pt idx="7">
                  <c:v>2005</c:v>
                </c:pt>
                <c:pt idx="8">
                  <c:v>2006</c:v>
                </c:pt>
                <c:pt idx="9">
                  <c:v>2007</c:v>
                </c:pt>
                <c:pt idx="10">
                  <c:v>2008</c:v>
                </c:pt>
                <c:pt idx="11">
                  <c:v>2009</c:v>
                </c:pt>
                <c:pt idx="12">
                  <c:v>2010</c:v>
                </c:pt>
                <c:pt idx="13">
                  <c:v>2011</c:v>
                </c:pt>
                <c:pt idx="14">
                  <c:v>2012</c:v>
                </c:pt>
                <c:pt idx="15">
                  <c:v>2013</c:v>
                </c:pt>
                <c:pt idx="16">
                  <c:v>2014</c:v>
                </c:pt>
                <c:pt idx="17">
                  <c:v>2015</c:v>
                </c:pt>
                <c:pt idx="18">
                  <c:v>2016</c:v>
                </c:pt>
                <c:pt idx="19">
                  <c:v>2017</c:v>
                </c:pt>
              </c:numCache>
            </c:numRef>
          </c:cat>
          <c:val>
            <c:numRef>
              <c:f>Sheet1!$C$46:$C$65</c:f>
              <c:numCache>
                <c:formatCode>_-* #,##0_-;\-* #,##0_-;_-* "-"??_-;_-@_-</c:formatCode>
                <c:ptCount val="20"/>
                <c:pt idx="0" formatCode="General">
                  <c:v>100</c:v>
                </c:pt>
                <c:pt idx="1">
                  <c:v>103.34117447296569</c:v>
                </c:pt>
                <c:pt idx="2">
                  <c:v>106.92639340415187</c:v>
                </c:pt>
                <c:pt idx="3">
                  <c:v>109.64732492192898</c:v>
                </c:pt>
                <c:pt idx="4">
                  <c:v>112.07511475375698</c:v>
                </c:pt>
                <c:pt idx="5">
                  <c:v>115.87266117386426</c:v>
                </c:pt>
                <c:pt idx="6">
                  <c:v>118.34129861766876</c:v>
                </c:pt>
                <c:pt idx="7">
                  <c:v>122.30247576575256</c:v>
                </c:pt>
                <c:pt idx="8">
                  <c:v>125.32239578452645</c:v>
                </c:pt>
                <c:pt idx="9">
                  <c:v>128.45468678291417</c:v>
                </c:pt>
                <c:pt idx="10">
                  <c:v>128.30066725775563</c:v>
                </c:pt>
                <c:pt idx="11">
                  <c:v>122.7284122373038</c:v>
                </c:pt>
                <c:pt idx="12">
                  <c:v>124.99032872716438</c:v>
                </c:pt>
                <c:pt idx="13">
                  <c:v>126.80980951396947</c:v>
                </c:pt>
                <c:pt idx="14">
                  <c:v>128.38893013696764</c:v>
                </c:pt>
                <c:pt idx="15">
                  <c:v>130.24445293434027</c:v>
                </c:pt>
                <c:pt idx="16">
                  <c:v>134.61290480183703</c:v>
                </c:pt>
                <c:pt idx="17">
                  <c:v>138.0427426207988</c:v>
                </c:pt>
                <c:pt idx="18">
                  <c:v>140.64753877119171</c:v>
                </c:pt>
                <c:pt idx="19">
                  <c:v>143.32081474166287</c:v>
                </c:pt>
              </c:numCache>
            </c:numRef>
          </c:val>
          <c:smooth val="0"/>
        </c:ser>
        <c:dLbls>
          <c:showLegendKey val="0"/>
          <c:showVal val="0"/>
          <c:showCatName val="0"/>
          <c:showSerName val="0"/>
          <c:showPercent val="0"/>
          <c:showBubbleSize val="0"/>
        </c:dLbls>
        <c:smooth val="0"/>
        <c:axId val="148622392"/>
        <c:axId val="148622784"/>
      </c:lineChart>
      <c:catAx>
        <c:axId val="1486223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2784"/>
        <c:crosses val="autoZero"/>
        <c:auto val="1"/>
        <c:lblAlgn val="ctr"/>
        <c:lblOffset val="100"/>
        <c:noMultiLvlLbl val="0"/>
      </c:catAx>
      <c:valAx>
        <c:axId val="148622784"/>
        <c:scaling>
          <c:orientation val="minMax"/>
          <c:max val="145"/>
          <c:min val="100"/>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Index GVA Base</a:t>
                </a:r>
                <a:r>
                  <a:rPr lang="en-GB" baseline="0"/>
                  <a:t> 1998 = 100</a:t>
                </a:r>
              </a:p>
            </c:rich>
          </c:tx>
          <c:layout>
            <c:manualLayout>
              <c:xMode val="edge"/>
              <c:yMode val="edge"/>
              <c:x val="1.9845644983461964E-2"/>
              <c:y val="0.1690994799850680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239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Charts_EI_Wal!$B$11</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Charts_EI_Wal!$C$11:$J$11</c:f>
              <c:numCache>
                <c:formatCode>0.0%</c:formatCode>
                <c:ptCount val="8"/>
                <c:pt idx="0">
                  <c:v>0.51787530596704323</c:v>
                </c:pt>
                <c:pt idx="1">
                  <c:v>0.55128702805552554</c:v>
                </c:pt>
                <c:pt idx="2">
                  <c:v>0.53981536190035617</c:v>
                </c:pt>
                <c:pt idx="3">
                  <c:v>0.52350913428048285</c:v>
                </c:pt>
                <c:pt idx="4">
                  <c:v>0.46487012499788127</c:v>
                </c:pt>
                <c:pt idx="5">
                  <c:v>0.57942636084399279</c:v>
                </c:pt>
                <c:pt idx="6">
                  <c:v>0.65561090447373793</c:v>
                </c:pt>
                <c:pt idx="7">
                  <c:v>0.49792047647135768</c:v>
                </c:pt>
              </c:numCache>
            </c:numRef>
          </c:val>
        </c:ser>
        <c:ser>
          <c:idx val="1"/>
          <c:order val="1"/>
          <c:tx>
            <c:strRef>
              <c:f>Charts_EI_Wal!$B$12</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Charts_EI_Wal!$C$12:$J$12</c:f>
              <c:numCache>
                <c:formatCode>0.0%</c:formatCode>
                <c:ptCount val="8"/>
                <c:pt idx="0">
                  <c:v>0.22947826600137045</c:v>
                </c:pt>
                <c:pt idx="1">
                  <c:v>0.19818512299360863</c:v>
                </c:pt>
                <c:pt idx="2">
                  <c:v>0.22555683702322349</c:v>
                </c:pt>
                <c:pt idx="3">
                  <c:v>0.18634288579746267</c:v>
                </c:pt>
                <c:pt idx="4">
                  <c:v>0.27443075534327721</c:v>
                </c:pt>
                <c:pt idx="5">
                  <c:v>0.1598142669591669</c:v>
                </c:pt>
                <c:pt idx="6">
                  <c:v>0.11464661383132772</c:v>
                </c:pt>
                <c:pt idx="7">
                  <c:v>0.19185345614917798</c:v>
                </c:pt>
              </c:numCache>
            </c:numRef>
          </c:val>
        </c:ser>
        <c:ser>
          <c:idx val="2"/>
          <c:order val="2"/>
          <c:tx>
            <c:strRef>
              <c:f>Charts_EI_Wal!$B$13</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Charts_EI_Wal!$C$13:$J$13</c:f>
              <c:numCache>
                <c:formatCode>0.0%</c:formatCode>
                <c:ptCount val="8"/>
                <c:pt idx="0">
                  <c:v>7.0785533534108463E-2</c:v>
                </c:pt>
                <c:pt idx="1">
                  <c:v>5.2251754062352961E-2</c:v>
                </c:pt>
                <c:pt idx="2">
                  <c:v>5.9181198785019686E-2</c:v>
                </c:pt>
                <c:pt idx="3">
                  <c:v>4.0022771767936879E-2</c:v>
                </c:pt>
                <c:pt idx="4">
                  <c:v>3.814978382568103E-2</c:v>
                </c:pt>
                <c:pt idx="5">
                  <c:v>4.2078641793325072E-2</c:v>
                </c:pt>
                <c:pt idx="6">
                  <c:v>3.7839589886356974E-2</c:v>
                </c:pt>
                <c:pt idx="7">
                  <c:v>5.6755002253682713E-2</c:v>
                </c:pt>
              </c:numCache>
            </c:numRef>
          </c:val>
        </c:ser>
        <c:ser>
          <c:idx val="3"/>
          <c:order val="3"/>
          <c:tx>
            <c:strRef>
              <c:f>Charts_EI_Wal!$B$14</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Charts_EI_Wal!$C$14:$J$14</c:f>
              <c:numCache>
                <c:formatCode>0.0%</c:formatCode>
                <c:ptCount val="8"/>
                <c:pt idx="0">
                  <c:v>0.12504455303871254</c:v>
                </c:pt>
                <c:pt idx="1">
                  <c:v>0.13976255000781995</c:v>
                </c:pt>
                <c:pt idx="2">
                  <c:v>0.12308329302748477</c:v>
                </c:pt>
                <c:pt idx="3">
                  <c:v>0.19546931405489359</c:v>
                </c:pt>
                <c:pt idx="4">
                  <c:v>0.14056979737492031</c:v>
                </c:pt>
                <c:pt idx="5">
                  <c:v>0.17020449831777953</c:v>
                </c:pt>
                <c:pt idx="6">
                  <c:v>0.15779710338171341</c:v>
                </c:pt>
                <c:pt idx="7">
                  <c:v>0.1997986915728264</c:v>
                </c:pt>
              </c:numCache>
            </c:numRef>
          </c:val>
        </c:ser>
        <c:ser>
          <c:idx val="4"/>
          <c:order val="4"/>
          <c:tx>
            <c:strRef>
              <c:f>Charts_EI_Wal!$B$15</c:f>
              <c:strCache>
                <c:ptCount val="1"/>
                <c:pt idx="0">
                  <c:v>MBS</c:v>
                </c:pt>
              </c:strCache>
            </c:strRef>
          </c:tx>
          <c:spPr>
            <a:solidFill>
              <a:schemeClr val="accent3"/>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Charts_EI_Wal!$C$15:$J$15</c:f>
              <c:numCache>
                <c:formatCode>0.0%</c:formatCode>
                <c:ptCount val="8"/>
                <c:pt idx="0">
                  <c:v>5.6816341458765185E-2</c:v>
                </c:pt>
                <c:pt idx="1">
                  <c:v>5.8513544880692797E-2</c:v>
                </c:pt>
                <c:pt idx="2">
                  <c:v>5.2363309263916032E-2</c:v>
                </c:pt>
                <c:pt idx="3">
                  <c:v>5.4655894099224042E-2</c:v>
                </c:pt>
                <c:pt idx="4">
                  <c:v>8.19795384582402E-2</c:v>
                </c:pt>
                <c:pt idx="5">
                  <c:v>4.847623208573569E-2</c:v>
                </c:pt>
                <c:pt idx="6">
                  <c:v>3.4105788426863917E-2</c:v>
                </c:pt>
                <c:pt idx="7">
                  <c:v>5.3672373552955309E-2</c:v>
                </c:pt>
              </c:numCache>
            </c:numRef>
          </c:val>
        </c:ser>
        <c:dLbls>
          <c:showLegendKey val="0"/>
          <c:showVal val="0"/>
          <c:showCatName val="0"/>
          <c:showSerName val="0"/>
          <c:showPercent val="0"/>
          <c:showBubbleSize val="0"/>
        </c:dLbls>
        <c:gapWidth val="150"/>
        <c:overlap val="100"/>
        <c:axId val="148623960"/>
        <c:axId val="148624352"/>
      </c:barChart>
      <c:catAx>
        <c:axId val="1486239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4352"/>
        <c:crosses val="autoZero"/>
        <c:auto val="1"/>
        <c:lblAlgn val="ctr"/>
        <c:lblOffset val="100"/>
        <c:noMultiLvlLbl val="0"/>
      </c:catAx>
      <c:valAx>
        <c:axId val="148624352"/>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396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'Wales Summary'!$C$18</c:f>
              <c:strCache>
                <c:ptCount val="1"/>
                <c:pt idx="0">
                  <c:v>GVA</c:v>
                </c:pt>
              </c:strCache>
            </c:strRef>
          </c:tx>
          <c:spPr>
            <a:solidFill>
              <a:schemeClr val="accent1"/>
            </a:solidFill>
            <a:ln>
              <a:noFill/>
            </a:ln>
            <a:effectLst/>
          </c:spPr>
          <c:invertIfNegative val="0"/>
          <c:dPt>
            <c:idx val="2"/>
            <c:invertIfNegative val="0"/>
            <c:bubble3D val="0"/>
            <c:spPr>
              <a:solidFill>
                <a:schemeClr val="accent2"/>
              </a:solidFill>
              <a:ln>
                <a:noFill/>
              </a:ln>
              <a:effectLst/>
            </c:spPr>
          </c:dPt>
          <c:cat>
            <c:strRef>
              <c:f>'Wales Summary'!$B$19:$B$23</c:f>
              <c:strCache>
                <c:ptCount val="5"/>
                <c:pt idx="0">
                  <c:v>Manufacture of machinery and equipment </c:v>
                </c:pt>
                <c:pt idx="1">
                  <c:v>Travel agency, tour operator and other </c:v>
                </c:pt>
                <c:pt idx="2">
                  <c:v>Maritime</c:v>
                </c:pt>
                <c:pt idx="3">
                  <c:v>Advertising and market research </c:v>
                </c:pt>
                <c:pt idx="4">
                  <c:v>Creative, arts and entertainment activities </c:v>
                </c:pt>
              </c:strCache>
            </c:strRef>
          </c:cat>
          <c:val>
            <c:numRef>
              <c:f>'Wales Summary'!$C$19:$C$23</c:f>
              <c:numCache>
                <c:formatCode>0</c:formatCode>
                <c:ptCount val="5"/>
                <c:pt idx="0">
                  <c:v>404</c:v>
                </c:pt>
                <c:pt idx="1">
                  <c:v>268</c:v>
                </c:pt>
                <c:pt idx="2">
                  <c:v>255.50238186897298</c:v>
                </c:pt>
                <c:pt idx="3">
                  <c:v>67</c:v>
                </c:pt>
                <c:pt idx="4">
                  <c:v>31</c:v>
                </c:pt>
              </c:numCache>
            </c:numRef>
          </c:val>
        </c:ser>
        <c:dLbls>
          <c:showLegendKey val="0"/>
          <c:showVal val="0"/>
          <c:showCatName val="0"/>
          <c:showSerName val="0"/>
          <c:showPercent val="0"/>
          <c:showBubbleSize val="0"/>
        </c:dLbls>
        <c:gapWidth val="219"/>
        <c:axId val="148625528"/>
        <c:axId val="202293352"/>
      </c:barChart>
      <c:scatterChart>
        <c:scatterStyle val="lineMarker"/>
        <c:varyColors val="0"/>
        <c:ser>
          <c:idx val="1"/>
          <c:order val="1"/>
          <c:tx>
            <c:strRef>
              <c:f>'Wales Summary'!$D$18</c:f>
              <c:strCache>
                <c:ptCount val="1"/>
              </c:strCache>
            </c:strRef>
          </c:tx>
          <c:spPr>
            <a:ln w="25400" cap="rnd">
              <a:noFill/>
              <a:round/>
            </a:ln>
            <a:effectLst/>
          </c:spPr>
          <c:marker>
            <c:symbol val="circle"/>
            <c:size val="5"/>
            <c:spPr>
              <a:solidFill>
                <a:schemeClr val="accent5"/>
              </a:solidFill>
              <a:ln w="15875">
                <a:solidFill>
                  <a:schemeClr val="accent5"/>
                </a:solidFill>
              </a:ln>
              <a:effectLst/>
            </c:spPr>
          </c:marker>
          <c:xVal>
            <c:strRef>
              <c:f>'Wales Summary'!$B$19:$B$23</c:f>
              <c:strCache>
                <c:ptCount val="5"/>
                <c:pt idx="0">
                  <c:v>Manufacture of machinery and equipment </c:v>
                </c:pt>
                <c:pt idx="1">
                  <c:v>Travel agency, tour operator and other </c:v>
                </c:pt>
                <c:pt idx="2">
                  <c:v>Maritime</c:v>
                </c:pt>
                <c:pt idx="3">
                  <c:v>Advertising and market research </c:v>
                </c:pt>
                <c:pt idx="4">
                  <c:v>Creative, arts and entertainment activities </c:v>
                </c:pt>
              </c:strCache>
            </c:strRef>
          </c:xVal>
          <c:yVal>
            <c:numRef>
              <c:f>'Wales Summary'!$D$19:$D$23</c:f>
              <c:numCache>
                <c:formatCode>0%</c:formatCode>
                <c:ptCount val="5"/>
                <c:pt idx="0">
                  <c:v>1.0824742268041236</c:v>
                </c:pt>
                <c:pt idx="1">
                  <c:v>1.2333333333333334</c:v>
                </c:pt>
                <c:pt idx="2">
                  <c:v>-0.23262378716180102</c:v>
                </c:pt>
                <c:pt idx="3">
                  <c:v>1.3103448275862069</c:v>
                </c:pt>
                <c:pt idx="4">
                  <c:v>-8.8235294117647065E-2</c:v>
                </c:pt>
              </c:numCache>
            </c:numRef>
          </c:yVal>
          <c:smooth val="0"/>
        </c:ser>
        <c:dLbls>
          <c:showLegendKey val="0"/>
          <c:showVal val="0"/>
          <c:showCatName val="0"/>
          <c:showSerName val="0"/>
          <c:showPercent val="0"/>
          <c:showBubbleSize val="0"/>
        </c:dLbls>
        <c:axId val="202294136"/>
        <c:axId val="202293744"/>
      </c:scatterChart>
      <c:catAx>
        <c:axId val="1486255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3352"/>
        <c:crosses val="autoZero"/>
        <c:auto val="1"/>
        <c:lblAlgn val="ctr"/>
        <c:lblOffset val="100"/>
        <c:noMultiLvlLbl val="0"/>
      </c:catAx>
      <c:valAx>
        <c:axId val="202293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million</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5528"/>
        <c:crosses val="autoZero"/>
        <c:crossBetween val="between"/>
      </c:valAx>
      <c:valAx>
        <c:axId val="202293744"/>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 Growth</a:t>
                </a:r>
                <a:r>
                  <a:rPr lang="en-GB" baseline="0"/>
                  <a:t> 2010-17</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4136"/>
        <c:crosses val="max"/>
        <c:crossBetween val="midCat"/>
      </c:valAx>
      <c:valAx>
        <c:axId val="202294136"/>
        <c:scaling>
          <c:orientation val="minMax"/>
        </c:scaling>
        <c:delete val="1"/>
        <c:axPos val="b"/>
        <c:numFmt formatCode="General" sourceLinked="1"/>
        <c:majorTickMark val="out"/>
        <c:minorTickMark val="none"/>
        <c:tickLblPos val="nextTo"/>
        <c:crossAx val="202293744"/>
        <c:crosses val="autoZero"/>
        <c:crossBetween val="midCat"/>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21464236710108"/>
          <c:y val="5.0925925925925923E-2"/>
          <c:w val="0.80847201260913371"/>
          <c:h val="0.66058349354530133"/>
        </c:manualLayout>
      </c:layout>
      <c:barChart>
        <c:barDir val="col"/>
        <c:grouping val="stacked"/>
        <c:varyColors val="0"/>
        <c:ser>
          <c:idx val="0"/>
          <c:order val="0"/>
          <c:tx>
            <c:strRef>
              <c:f>Charts_EI_Wal!$B$22</c:f>
              <c:strCache>
                <c:ptCount val="1"/>
                <c:pt idx="0">
                  <c:v>Shipping</c:v>
                </c:pt>
              </c:strCache>
            </c:strRef>
          </c:tx>
          <c:spPr>
            <a:solidFill>
              <a:schemeClr val="accent1"/>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Charts_EI_Wal!$C$22:$J$22</c:f>
              <c:numCache>
                <c:formatCode>#,##0_ ;\-#,##0\ </c:formatCode>
                <c:ptCount val="8"/>
                <c:pt idx="0">
                  <c:v>3133.0248716748838</c:v>
                </c:pt>
                <c:pt idx="1">
                  <c:v>3738.890383095852</c:v>
                </c:pt>
                <c:pt idx="2">
                  <c:v>2866.4892260495662</c:v>
                </c:pt>
                <c:pt idx="3">
                  <c:v>3305.4791737925198</c:v>
                </c:pt>
                <c:pt idx="4">
                  <c:v>2173.5152704159991</c:v>
                </c:pt>
                <c:pt idx="5">
                  <c:v>2977.3610505384077</c:v>
                </c:pt>
                <c:pt idx="6">
                  <c:v>3162.545343533855</c:v>
                </c:pt>
                <c:pt idx="7">
                  <c:v>1378.9423811723018</c:v>
                </c:pt>
              </c:numCache>
            </c:numRef>
          </c:val>
        </c:ser>
        <c:ser>
          <c:idx val="1"/>
          <c:order val="1"/>
          <c:tx>
            <c:strRef>
              <c:f>Charts_EI_Wal!$B$23</c:f>
              <c:strCache>
                <c:ptCount val="1"/>
                <c:pt idx="0">
                  <c:v>Ports</c:v>
                </c:pt>
              </c:strCache>
            </c:strRef>
          </c:tx>
          <c:spPr>
            <a:solidFill>
              <a:schemeClr val="accent2"/>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Charts_EI_Wal!$C$23:$J$23</c:f>
              <c:numCache>
                <c:formatCode>#,##0_ ;\-#,##0\ </c:formatCode>
                <c:ptCount val="8"/>
                <c:pt idx="0">
                  <c:v>1598.8007314884712</c:v>
                </c:pt>
                <c:pt idx="1">
                  <c:v>1892.528113692144</c:v>
                </c:pt>
                <c:pt idx="2">
                  <c:v>1220.757863656846</c:v>
                </c:pt>
                <c:pt idx="3">
                  <c:v>1192.9916895257302</c:v>
                </c:pt>
                <c:pt idx="4">
                  <c:v>1526.5480119414858</c:v>
                </c:pt>
                <c:pt idx="5">
                  <c:v>1162.7235202779164</c:v>
                </c:pt>
                <c:pt idx="6">
                  <c:v>860.67499182262077</c:v>
                </c:pt>
                <c:pt idx="7">
                  <c:v>808.95773544538156</c:v>
                </c:pt>
              </c:numCache>
            </c:numRef>
          </c:val>
        </c:ser>
        <c:ser>
          <c:idx val="2"/>
          <c:order val="2"/>
          <c:tx>
            <c:strRef>
              <c:f>Charts_EI_Wal!$B$24</c:f>
              <c:strCache>
                <c:ptCount val="1"/>
                <c:pt idx="0">
                  <c:v>Leisure Marine</c:v>
                </c:pt>
              </c:strCache>
            </c:strRef>
          </c:tx>
          <c:spPr>
            <a:solidFill>
              <a:schemeClr val="accent4"/>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Charts_EI_Wal!$C$24:$J$24</c:f>
              <c:numCache>
                <c:formatCode>#,##0_ ;\-#,##0\ </c:formatCode>
                <c:ptCount val="8"/>
                <c:pt idx="0">
                  <c:v>975.26753901216421</c:v>
                </c:pt>
                <c:pt idx="1">
                  <c:v>900.55425967238648</c:v>
                </c:pt>
                <c:pt idx="2">
                  <c:v>853.16086815009066</c:v>
                </c:pt>
                <c:pt idx="3">
                  <c:v>498.11797674569607</c:v>
                </c:pt>
                <c:pt idx="4">
                  <c:v>448.44892496020896</c:v>
                </c:pt>
                <c:pt idx="5">
                  <c:v>565.42294071413733</c:v>
                </c:pt>
                <c:pt idx="6">
                  <c:v>577.90999855352175</c:v>
                </c:pt>
                <c:pt idx="7">
                  <c:v>525.55894470044416</c:v>
                </c:pt>
              </c:numCache>
            </c:numRef>
          </c:val>
        </c:ser>
        <c:ser>
          <c:idx val="3"/>
          <c:order val="3"/>
          <c:tx>
            <c:strRef>
              <c:f>Charts_EI_Wal!$B$25</c:f>
              <c:strCache>
                <c:ptCount val="1"/>
                <c:pt idx="0">
                  <c:v>Marine Engineering</c:v>
                </c:pt>
              </c:strCache>
            </c:strRef>
          </c:tx>
          <c:spPr>
            <a:solidFill>
              <a:schemeClr val="accent5">
                <a:lumMod val="40000"/>
                <a:lumOff val="60000"/>
              </a:schemeClr>
            </a:solidFill>
            <a:ln>
              <a:noFill/>
            </a:ln>
            <a:effectLst/>
          </c:spPr>
          <c:invertIfNegative val="0"/>
          <c:cat>
            <c:numRef>
              <c:f>Charts_EI_Wal!$C$3:$J$3</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Charts_EI_Wal!$C$25:$J$25</c:f>
              <c:numCache>
                <c:formatCode>#,##0_ ;\-#,##0\ </c:formatCode>
                <c:ptCount val="8"/>
                <c:pt idx="0">
                  <c:v>1094.641180163625</c:v>
                </c:pt>
                <c:pt idx="1">
                  <c:v>1425.9646842108048</c:v>
                </c:pt>
                <c:pt idx="2">
                  <c:v>911.74802814561997</c:v>
                </c:pt>
                <c:pt idx="3">
                  <c:v>1229.4751952968259</c:v>
                </c:pt>
                <c:pt idx="4">
                  <c:v>948.88248761406612</c:v>
                </c:pt>
                <c:pt idx="5">
                  <c:v>1262.152024597659</c:v>
                </c:pt>
                <c:pt idx="6">
                  <c:v>1482.3283841243544</c:v>
                </c:pt>
                <c:pt idx="7">
                  <c:v>1209.7434110249951</c:v>
                </c:pt>
              </c:numCache>
            </c:numRef>
          </c:val>
        </c:ser>
        <c:ser>
          <c:idx val="4"/>
          <c:order val="4"/>
          <c:tx>
            <c:strRef>
              <c:f>Charts_EI_Wal!$B$26</c:f>
              <c:strCache>
                <c:ptCount val="1"/>
                <c:pt idx="0">
                  <c:v>MBS</c:v>
                </c:pt>
              </c:strCache>
            </c:strRef>
          </c:tx>
          <c:spPr>
            <a:solidFill>
              <a:schemeClr val="accent3"/>
            </a:solidFill>
            <a:ln>
              <a:noFill/>
            </a:ln>
            <a:effectLst/>
          </c:spPr>
          <c:invertIfNegative val="0"/>
          <c:val>
            <c:numRef>
              <c:f>Charts_EI_Wal!$C$26:$J$26</c:f>
              <c:numCache>
                <c:formatCode>#,##0_ ;\-#,##0\ </c:formatCode>
                <c:ptCount val="8"/>
                <c:pt idx="0">
                  <c:v>206.45511586446401</c:v>
                </c:pt>
                <c:pt idx="1">
                  <c:v>255.89907994237285</c:v>
                </c:pt>
                <c:pt idx="2">
                  <c:v>192.11070588644301</c:v>
                </c:pt>
                <c:pt idx="3">
                  <c:v>174.94069483313595</c:v>
                </c:pt>
                <c:pt idx="4">
                  <c:v>245.81904007491977</c:v>
                </c:pt>
                <c:pt idx="5">
                  <c:v>194.77942832818678</c:v>
                </c:pt>
                <c:pt idx="6">
                  <c:v>149.98246199281692</c:v>
                </c:pt>
                <c:pt idx="7">
                  <c:v>144.16211941520703</c:v>
                </c:pt>
              </c:numCache>
            </c:numRef>
          </c:val>
        </c:ser>
        <c:dLbls>
          <c:showLegendKey val="0"/>
          <c:showVal val="0"/>
          <c:showCatName val="0"/>
          <c:showSerName val="0"/>
          <c:showPercent val="0"/>
          <c:showBubbleSize val="0"/>
        </c:dLbls>
        <c:gapWidth val="150"/>
        <c:overlap val="100"/>
        <c:axId val="202294920"/>
        <c:axId val="202295312"/>
      </c:barChart>
      <c:lineChart>
        <c:grouping val="standard"/>
        <c:varyColors val="0"/>
        <c:ser>
          <c:idx val="5"/>
          <c:order val="5"/>
          <c:tx>
            <c:strRef>
              <c:f>Charts_EI_Wal!$B$27</c:f>
              <c:strCache>
                <c:ptCount val="1"/>
                <c:pt idx="0">
                  <c:v>Wales as % Sector (RHS)</c:v>
                </c:pt>
              </c:strCache>
            </c:strRef>
          </c:tx>
          <c:spPr>
            <a:ln w="28575" cap="rnd">
              <a:solidFill>
                <a:srgbClr val="FF0000"/>
              </a:solidFill>
              <a:round/>
            </a:ln>
            <a:effectLst/>
          </c:spPr>
          <c:marker>
            <c:symbol val="none"/>
          </c:marker>
          <c:cat>
            <c:numRef>
              <c:f>Charts_EI_Wal!$C$3:$H$3</c:f>
              <c:numCache>
                <c:formatCode>General</c:formatCode>
                <c:ptCount val="6"/>
                <c:pt idx="0">
                  <c:v>2010</c:v>
                </c:pt>
                <c:pt idx="1">
                  <c:v>2011</c:v>
                </c:pt>
                <c:pt idx="2">
                  <c:v>2012</c:v>
                </c:pt>
                <c:pt idx="3">
                  <c:v>2013</c:v>
                </c:pt>
                <c:pt idx="4">
                  <c:v>2014</c:v>
                </c:pt>
                <c:pt idx="5">
                  <c:v>2015</c:v>
                </c:pt>
              </c:numCache>
            </c:numRef>
          </c:cat>
          <c:val>
            <c:numRef>
              <c:f>Charts_EI_Wal!$C$27:$J$27</c:f>
              <c:numCache>
                <c:formatCode>0.0%</c:formatCode>
                <c:ptCount val="8"/>
                <c:pt idx="0">
                  <c:v>3.5825591486349902E-2</c:v>
                </c:pt>
                <c:pt idx="1">
                  <c:v>4.0800629037858999E-2</c:v>
                </c:pt>
                <c:pt idx="2">
                  <c:v>2.9929479724314409E-2</c:v>
                </c:pt>
                <c:pt idx="3">
                  <c:v>3.2162704970951167E-2</c:v>
                </c:pt>
                <c:pt idx="4">
                  <c:v>2.5541500327274796E-2</c:v>
                </c:pt>
                <c:pt idx="5">
                  <c:v>2.908206322928426E-2</c:v>
                </c:pt>
                <c:pt idx="6">
                  <c:v>2.9188337214772701E-2</c:v>
                </c:pt>
                <c:pt idx="7">
                  <c:v>1.8482192647362446E-2</c:v>
                </c:pt>
              </c:numCache>
            </c:numRef>
          </c:val>
          <c:smooth val="0"/>
        </c:ser>
        <c:dLbls>
          <c:showLegendKey val="0"/>
          <c:showVal val="0"/>
          <c:showCatName val="0"/>
          <c:showSerName val="0"/>
          <c:showPercent val="0"/>
          <c:showBubbleSize val="0"/>
        </c:dLbls>
        <c:marker val="1"/>
        <c:smooth val="0"/>
        <c:axId val="202296096"/>
        <c:axId val="202295704"/>
      </c:lineChart>
      <c:catAx>
        <c:axId val="2022949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5312"/>
        <c:crosses val="autoZero"/>
        <c:auto val="1"/>
        <c:lblAlgn val="ctr"/>
        <c:lblOffset val="100"/>
        <c:noMultiLvlLbl val="0"/>
      </c:catAx>
      <c:valAx>
        <c:axId val="20229531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Thousands of jobs</a:t>
                </a:r>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_ ;\-#,##0\ "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4920"/>
        <c:crosses val="autoZero"/>
        <c:crossBetween val="between"/>
      </c:valAx>
      <c:valAx>
        <c:axId val="202295704"/>
        <c:scaling>
          <c:orientation val="minMax"/>
          <c:max val="5.000000000000001E-2"/>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a:t>%</a:t>
                </a:r>
                <a:r>
                  <a:rPr lang="en-GB" baseline="0"/>
                  <a:t> of UK Maritime Sector</a:t>
                </a:r>
                <a:endParaRPr lang="en-GB"/>
              </a:p>
            </c:rich>
          </c:tx>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6096"/>
        <c:crosses val="max"/>
        <c:crossBetween val="between"/>
      </c:valAx>
      <c:catAx>
        <c:axId val="202296096"/>
        <c:scaling>
          <c:orientation val="minMax"/>
        </c:scaling>
        <c:delete val="1"/>
        <c:axPos val="b"/>
        <c:numFmt formatCode="General" sourceLinked="1"/>
        <c:majorTickMark val="out"/>
        <c:minorTickMark val="none"/>
        <c:tickLblPos val="nextTo"/>
        <c:crossAx val="202295704"/>
        <c:crosses val="autoZero"/>
        <c:auto val="1"/>
        <c:lblAlgn val="ctr"/>
        <c:lblOffset val="100"/>
        <c:noMultiLvlLbl val="0"/>
      </c:catAx>
      <c:spPr>
        <a:noFill/>
        <a:ln>
          <a:noFill/>
        </a:ln>
        <a:effectLst/>
      </c:spPr>
    </c:plotArea>
    <c:legend>
      <c:legendPos val="b"/>
      <c:layout>
        <c:manualLayout>
          <c:xMode val="edge"/>
          <c:yMode val="edge"/>
          <c:x val="1.396157025208228E-2"/>
          <c:y val="0.79935281635501931"/>
          <c:w val="0.97129807990311301"/>
          <c:h val="0.1333738662049242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Charts_EI_Wal!$B$29</c:f>
              <c:strCache>
                <c:ptCount val="1"/>
                <c:pt idx="0">
                  <c:v>Shipping</c:v>
                </c:pt>
              </c:strCache>
            </c:strRef>
          </c:tx>
          <c:spPr>
            <a:solidFill>
              <a:schemeClr val="accent1"/>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Charts_EI_Wal!$C$29:$J$29</c:f>
              <c:numCache>
                <c:formatCode>0.0%</c:formatCode>
                <c:ptCount val="8"/>
                <c:pt idx="0">
                  <c:v>0.4470519667456313</c:v>
                </c:pt>
                <c:pt idx="1">
                  <c:v>0.45519415606978297</c:v>
                </c:pt>
                <c:pt idx="2">
                  <c:v>0.4742492964277053</c:v>
                </c:pt>
                <c:pt idx="3">
                  <c:v>0.51640005172943926</c:v>
                </c:pt>
                <c:pt idx="4">
                  <c:v>0.40678052165047474</c:v>
                </c:pt>
                <c:pt idx="5">
                  <c:v>0.48314653787424422</c:v>
                </c:pt>
                <c:pt idx="6">
                  <c:v>0.507351437544177</c:v>
                </c:pt>
                <c:pt idx="7">
                  <c:v>0.33902600813471268</c:v>
                </c:pt>
              </c:numCache>
            </c:numRef>
          </c:val>
        </c:ser>
        <c:ser>
          <c:idx val="1"/>
          <c:order val="1"/>
          <c:tx>
            <c:strRef>
              <c:f>Charts_EI_Wal!$B$30</c:f>
              <c:strCache>
                <c:ptCount val="1"/>
                <c:pt idx="0">
                  <c:v>Ports</c:v>
                </c:pt>
              </c:strCache>
            </c:strRef>
          </c:tx>
          <c:spPr>
            <a:solidFill>
              <a:schemeClr val="accent2"/>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Charts_EI_Wal!$C$30:$J$30</c:f>
              <c:numCache>
                <c:formatCode>0.0%</c:formatCode>
                <c:ptCount val="8"/>
                <c:pt idx="0">
                  <c:v>0.228133206955417</c:v>
                </c:pt>
                <c:pt idx="1">
                  <c:v>0.2304073265815102</c:v>
                </c:pt>
                <c:pt idx="2">
                  <c:v>0.20196955658742005</c:v>
                </c:pt>
                <c:pt idx="3">
                  <c:v>0.18637569253750425</c:v>
                </c:pt>
                <c:pt idx="4">
                  <c:v>0.28569847429836664</c:v>
                </c:pt>
                <c:pt idx="5">
                  <c:v>0.18867911341341778</c:v>
                </c:pt>
                <c:pt idx="6">
                  <c:v>0.13807381299760166</c:v>
                </c:pt>
                <c:pt idx="7">
                  <c:v>0.19888989963785558</c:v>
                </c:pt>
              </c:numCache>
            </c:numRef>
          </c:val>
        </c:ser>
        <c:ser>
          <c:idx val="2"/>
          <c:order val="2"/>
          <c:tx>
            <c:strRef>
              <c:f>Charts_EI_Wal!$B$31</c:f>
              <c:strCache>
                <c:ptCount val="1"/>
                <c:pt idx="0">
                  <c:v>Leisure Marine</c:v>
                </c:pt>
              </c:strCache>
            </c:strRef>
          </c:tx>
          <c:spPr>
            <a:solidFill>
              <a:schemeClr val="accent4"/>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Charts_EI_Wal!$C$31:$J$31</c:f>
              <c:numCache>
                <c:formatCode>0.0%</c:formatCode>
                <c:ptCount val="8"/>
                <c:pt idx="0">
                  <c:v>0.13916112679484763</c:v>
                </c:pt>
                <c:pt idx="1">
                  <c:v>0.10963868801288446</c:v>
                </c:pt>
                <c:pt idx="2">
                  <c:v>0.14115208868844858</c:v>
                </c:pt>
                <c:pt idx="3">
                  <c:v>7.7818717176702717E-2</c:v>
                </c:pt>
                <c:pt idx="4">
                  <c:v>8.3928689212288882E-2</c:v>
                </c:pt>
                <c:pt idx="5">
                  <c:v>9.1753110087642517E-2</c:v>
                </c:pt>
                <c:pt idx="6">
                  <c:v>9.2711229939126963E-2</c:v>
                </c:pt>
                <c:pt idx="7">
                  <c:v>0.12921363031122912</c:v>
                </c:pt>
              </c:numCache>
            </c:numRef>
          </c:val>
        </c:ser>
        <c:ser>
          <c:idx val="3"/>
          <c:order val="3"/>
          <c:tx>
            <c:strRef>
              <c:f>Charts_EI_Wal!$B$32</c:f>
              <c:strCache>
                <c:ptCount val="1"/>
                <c:pt idx="0">
                  <c:v>Marine Engineering</c:v>
                </c:pt>
              </c:strCache>
            </c:strRef>
          </c:tx>
          <c:spPr>
            <a:solidFill>
              <a:schemeClr val="accent5">
                <a:lumMod val="40000"/>
                <a:lumOff val="60000"/>
              </a:schemeClr>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Charts_EI_Wal!$C$32:$J$32</c:f>
              <c:numCache>
                <c:formatCode>0.0%</c:formatCode>
                <c:ptCount val="8"/>
                <c:pt idx="0">
                  <c:v>0.1561945763332864</c:v>
                </c:pt>
                <c:pt idx="1">
                  <c:v>0.17360519419058118</c:v>
                </c:pt>
                <c:pt idx="2">
                  <c:v>0.15084510241237206</c:v>
                </c:pt>
                <c:pt idx="3">
                  <c:v>0.19207534553088523</c:v>
                </c:pt>
                <c:pt idx="4">
                  <c:v>0.17758647410964551</c:v>
                </c:pt>
                <c:pt idx="5">
                  <c:v>0.20481371610777727</c:v>
                </c:pt>
                <c:pt idx="6">
                  <c:v>0.23780257827312867</c:v>
                </c:pt>
                <c:pt idx="7">
                  <c:v>0.29742684328724528</c:v>
                </c:pt>
              </c:numCache>
            </c:numRef>
          </c:val>
        </c:ser>
        <c:ser>
          <c:idx val="4"/>
          <c:order val="4"/>
          <c:tx>
            <c:strRef>
              <c:f>Charts_EI_Wal!$B$33</c:f>
              <c:strCache>
                <c:ptCount val="1"/>
                <c:pt idx="0">
                  <c:v>MBS</c:v>
                </c:pt>
              </c:strCache>
            </c:strRef>
          </c:tx>
          <c:spPr>
            <a:solidFill>
              <a:schemeClr val="accent3"/>
            </a:solidFill>
            <a:ln>
              <a:noFill/>
            </a:ln>
            <a:effectLst/>
          </c:spPr>
          <c:invertIfNegative val="0"/>
          <c:cat>
            <c:numRef>
              <c:f>Charts_EI_Wal!$C$21:$J$21</c:f>
              <c:numCache>
                <c:formatCode>General</c:formatCode>
                <c:ptCount val="8"/>
                <c:pt idx="0">
                  <c:v>2010</c:v>
                </c:pt>
                <c:pt idx="1">
                  <c:v>2011</c:v>
                </c:pt>
                <c:pt idx="2">
                  <c:v>2012</c:v>
                </c:pt>
                <c:pt idx="3">
                  <c:v>2013</c:v>
                </c:pt>
                <c:pt idx="4">
                  <c:v>2014</c:v>
                </c:pt>
                <c:pt idx="5">
                  <c:v>2015</c:v>
                </c:pt>
                <c:pt idx="6">
                  <c:v>2016</c:v>
                </c:pt>
                <c:pt idx="7">
                  <c:v>2017</c:v>
                </c:pt>
              </c:numCache>
            </c:numRef>
          </c:cat>
          <c:val>
            <c:numRef>
              <c:f>Charts_EI_Wal!$C$33:$J$33</c:f>
              <c:numCache>
                <c:formatCode>0.0%</c:formatCode>
                <c:ptCount val="8"/>
                <c:pt idx="0">
                  <c:v>2.9459123170817732E-2</c:v>
                </c:pt>
                <c:pt idx="1">
                  <c:v>3.1154635145241191E-2</c:v>
                </c:pt>
                <c:pt idx="2">
                  <c:v>3.1783955884053972E-2</c:v>
                </c:pt>
                <c:pt idx="3">
                  <c:v>2.7330193025468425E-2</c:v>
                </c:pt>
                <c:pt idx="4">
                  <c:v>4.6005840729224062E-2</c:v>
                </c:pt>
                <c:pt idx="5">
                  <c:v>3.1607522516918195E-2</c:v>
                </c:pt>
                <c:pt idx="6">
                  <c:v>2.4060941245965715E-2</c:v>
                </c:pt>
                <c:pt idx="7">
                  <c:v>3.5443618628957348E-2</c:v>
                </c:pt>
              </c:numCache>
            </c:numRef>
          </c:val>
        </c:ser>
        <c:dLbls>
          <c:showLegendKey val="0"/>
          <c:showVal val="0"/>
          <c:showCatName val="0"/>
          <c:showSerName val="0"/>
          <c:showPercent val="0"/>
          <c:showBubbleSize val="0"/>
        </c:dLbls>
        <c:gapWidth val="150"/>
        <c:overlap val="100"/>
        <c:axId val="148623568"/>
        <c:axId val="202296880"/>
      </c:barChart>
      <c:catAx>
        <c:axId val="14862356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02296880"/>
        <c:crosses val="autoZero"/>
        <c:auto val="1"/>
        <c:lblAlgn val="ctr"/>
        <c:lblOffset val="100"/>
        <c:noMultiLvlLbl val="0"/>
      </c:catAx>
      <c:valAx>
        <c:axId val="202296880"/>
        <c:scaling>
          <c:orientation val="minMax"/>
          <c:max val="1"/>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862356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0.40936</cdr:x>
      <cdr:y>0.05836</cdr:y>
    </cdr:from>
    <cdr:to>
      <cdr:x>0.40936</cdr:x>
      <cdr:y>0.83321</cdr:y>
    </cdr:to>
    <cdr:cxnSp macro="">
      <cdr:nvCxnSpPr>
        <cdr:cNvPr id="3" name="Straight Connector 2">
          <a:extLst xmlns:a="http://schemas.openxmlformats.org/drawingml/2006/main">
            <a:ext uri="{FF2B5EF4-FFF2-40B4-BE49-F238E27FC236}">
              <a16:creationId xmlns:a16="http://schemas.microsoft.com/office/drawing/2014/main" xmlns="" id="{27895203-03A7-427C-9D5F-7E0C5DBC28B3}"/>
            </a:ext>
          </a:extLst>
        </cdr:cNvPr>
        <cdr:cNvCxnSpPr/>
      </cdr:nvCxnSpPr>
      <cdr:spPr>
        <a:xfrm xmlns:a="http://schemas.openxmlformats.org/drawingml/2006/main" flipV="1">
          <a:off x="2525435" y="225781"/>
          <a:ext cx="0" cy="2997715"/>
        </a:xfrm>
        <a:prstGeom xmlns:a="http://schemas.openxmlformats.org/drawingml/2006/main" prst="line">
          <a:avLst/>
        </a:prstGeom>
        <a:ln xmlns:a="http://schemas.openxmlformats.org/drawingml/2006/main">
          <a:solidFill>
            <a:schemeClr val="tx1"/>
          </a:solidFill>
          <a:prstDash val="sysDash"/>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63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word/theme/themeOverride1.xml><?xml version="1.0" encoding="utf-8"?>
<a:themeOverride xmlns:a="http://schemas.openxmlformats.org/drawingml/2006/main">
  <a:clrScheme name="Cebr Colours">
    <a:dk1>
      <a:sysClr val="windowText" lastClr="000000"/>
    </a:dk1>
    <a:lt1>
      <a:sysClr val="window" lastClr="FFFFFF"/>
    </a:lt1>
    <a:dk2>
      <a:srgbClr val="008C9B"/>
    </a:dk2>
    <a:lt2>
      <a:srgbClr val="EEECE1"/>
    </a:lt2>
    <a:accent1>
      <a:srgbClr val="008C9B"/>
    </a:accent1>
    <a:accent2>
      <a:srgbClr val="00AEEF"/>
    </a:accent2>
    <a:accent3>
      <a:srgbClr val="6D6E71"/>
    </a:accent3>
    <a:accent4>
      <a:srgbClr val="BCBEC0"/>
    </a:accent4>
    <a:accent5>
      <a:srgbClr val="ED1C24"/>
    </a:accent5>
    <a:accent6>
      <a:srgbClr val="004A53"/>
    </a:accent6>
    <a:hlink>
      <a:srgbClr val="0000FF"/>
    </a:hlink>
    <a:folHlink>
      <a:srgbClr val="800080"/>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4C3BDE-AF89-45FC-A31E-EA2B1D736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42</Pages>
  <Words>11535</Words>
  <Characters>65752</Characters>
  <Application>Microsoft Office Word</Application>
  <DocSecurity>0</DocSecurity>
  <Lines>547</Lines>
  <Paragraphs>154</Paragraphs>
  <ScaleCrop>false</ScaleCrop>
  <HeadingPairs>
    <vt:vector size="2" baseType="variant">
      <vt:variant>
        <vt:lpstr>Title</vt:lpstr>
      </vt:variant>
      <vt:variant>
        <vt:i4>1</vt:i4>
      </vt:variant>
    </vt:vector>
  </HeadingPairs>
  <TitlesOfParts>
    <vt:vector size="1" baseType="lpstr">
      <vt:lpstr/>
    </vt:vector>
  </TitlesOfParts>
  <Company>Operandi Limited</Company>
  <LinksUpToDate>false</LinksUpToDate>
  <CharactersWithSpaces>77133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Harsha Ramesh</dc:creator>
  <cp:lastModifiedBy>Charlotte Cervin</cp:lastModifiedBy>
  <cp:revision>4</cp:revision>
  <cp:lastPrinted>2017-10-25T13:35:00Z</cp:lastPrinted>
  <dcterms:created xsi:type="dcterms:W3CDTF">2019-08-30T15:49:00Z</dcterms:created>
  <dcterms:modified xsi:type="dcterms:W3CDTF">2019-08-30T15:51:00Z</dcterms:modified>
</cp:coreProperties>
</file>